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b w:val="0"/>
          <w:bCs w:val="0"/>
          <w:color w:val="auto"/>
          <w:spacing w:val="-10"/>
          <w:sz w:val="44"/>
          <w:szCs w:val="44"/>
          <w:lang w:val="en-US" w:eastAsia="zh-CN"/>
        </w:rPr>
        <w:t>关于推进龙</w:t>
      </w:r>
      <w:bookmarkStart w:id="0" w:name="_GoBack"/>
      <w:bookmarkEnd w:id="0"/>
      <w:r>
        <w:rPr>
          <w:rFonts w:hint="eastAsia" w:ascii="方正小标宋简体" w:hAnsi="方正小标宋简体" w:eastAsia="方正小标宋简体" w:cs="方正小标宋简体"/>
          <w:b w:val="0"/>
          <w:bCs w:val="0"/>
          <w:color w:val="auto"/>
          <w:spacing w:val="-10"/>
          <w:sz w:val="44"/>
          <w:szCs w:val="44"/>
          <w:lang w:val="en-US" w:eastAsia="zh-CN"/>
        </w:rPr>
        <w:t>港市投资</w:t>
      </w:r>
      <w:r>
        <w:rPr>
          <w:rFonts w:hint="eastAsia" w:ascii="方正小标宋简体" w:hAnsi="方正小标宋简体" w:eastAsia="方正小标宋简体" w:cs="方正小标宋简体"/>
          <w:b w:val="0"/>
          <w:bCs w:val="0"/>
          <w:color w:val="auto"/>
          <w:spacing w:val="-10"/>
          <w:sz w:val="44"/>
          <w:szCs w:val="44"/>
          <w:lang w:eastAsia="zh-CN"/>
        </w:rPr>
        <w:t>项目极速</w:t>
      </w:r>
      <w:r>
        <w:rPr>
          <w:rFonts w:hint="eastAsia" w:ascii="方正小标宋简体" w:hAnsi="方正小标宋简体" w:eastAsia="方正小标宋简体" w:cs="方正小标宋简体"/>
          <w:b w:val="0"/>
          <w:bCs w:val="0"/>
          <w:color w:val="auto"/>
          <w:spacing w:val="-10"/>
          <w:sz w:val="44"/>
          <w:szCs w:val="44"/>
          <w:lang w:val="en-US" w:eastAsia="zh-CN"/>
        </w:rPr>
        <w:t>投用</w:t>
      </w:r>
      <w:r>
        <w:rPr>
          <w:rFonts w:hint="eastAsia" w:ascii="方正小标宋简体" w:hAnsi="方正小标宋简体" w:eastAsia="方正小标宋简体" w:cs="方正小标宋简体"/>
          <w:b w:val="0"/>
          <w:bCs w:val="0"/>
          <w:color w:val="auto"/>
          <w:spacing w:val="-10"/>
          <w:sz w:val="44"/>
          <w:szCs w:val="44"/>
          <w:lang w:eastAsia="zh-CN"/>
        </w:rPr>
        <w:t>“一件事”改革</w:t>
      </w:r>
      <w:r>
        <w:rPr>
          <w:rFonts w:hint="eastAsia" w:ascii="方正小标宋简体" w:hAnsi="方正小标宋简体" w:eastAsia="方正小标宋简体" w:cs="方正小标宋简体"/>
          <w:b w:val="0"/>
          <w:bCs w:val="0"/>
          <w:color w:val="auto"/>
          <w:spacing w:val="-10"/>
          <w:sz w:val="44"/>
          <w:szCs w:val="44"/>
          <w:lang w:val="en-US" w:eastAsia="zh-CN"/>
        </w:rPr>
        <w:t>的</w:t>
      </w:r>
      <w:r>
        <w:rPr>
          <w:rFonts w:hint="eastAsia" w:ascii="方正小标宋简体" w:hAnsi="方正小标宋简体" w:eastAsia="方正小标宋简体" w:cs="方正小标宋简体"/>
          <w:b w:val="0"/>
          <w:bCs w:val="0"/>
          <w:color w:val="auto"/>
          <w:spacing w:val="-10"/>
          <w:sz w:val="44"/>
          <w:szCs w:val="44"/>
          <w:lang w:eastAsia="zh-CN"/>
        </w:rPr>
        <w:t>实施方案</w:t>
      </w:r>
    </w:p>
    <w:p>
      <w:pPr>
        <w:pStyle w:val="2"/>
        <w:keepNext w:val="0"/>
        <w:keepLines w:val="0"/>
        <w:pageBreakBefore w:val="0"/>
        <w:kinsoku/>
        <w:wordWrap/>
        <w:overflowPunct/>
        <w:topLinePunct w:val="0"/>
        <w:autoSpaceDE/>
        <w:autoSpaceDN/>
        <w:bidi w:val="0"/>
        <w:snapToGrid/>
        <w:spacing w:line="560" w:lineRule="exact"/>
        <w:ind w:left="0" w:leftChars="0" w:firstLine="0" w:firstLineChars="0"/>
        <w:jc w:val="center"/>
        <w:textAlignment w:val="auto"/>
        <w:rPr>
          <w:rFonts w:hint="eastAsia" w:ascii="仿宋" w:hAnsi="仿宋" w:eastAsia="仿宋" w:cs="仿宋"/>
          <w:color w:val="auto"/>
          <w:spacing w:val="-10"/>
          <w:sz w:val="32"/>
          <w:szCs w:val="32"/>
          <w:lang w:eastAsia="zh-CN"/>
        </w:rPr>
      </w:pPr>
      <w:r>
        <w:rPr>
          <w:rFonts w:hint="eastAsia" w:ascii="仿宋" w:hAnsi="仿宋" w:eastAsia="仿宋" w:cs="仿宋"/>
          <w:color w:val="auto"/>
          <w:spacing w:val="-10"/>
          <w:sz w:val="32"/>
          <w:szCs w:val="32"/>
          <w:lang w:eastAsia="zh-CN"/>
        </w:rPr>
        <w:t>（征求意见稿）</w:t>
      </w:r>
    </w:p>
    <w:p>
      <w:pPr>
        <w:rPr>
          <w:rFonts w:hint="eastAsia" w:ascii="黑体" w:hAnsi="黑体" w:eastAsia="黑体" w:cs="黑体"/>
          <w:b w:val="0"/>
          <w:bCs w:val="0"/>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指导思想和实施依据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b w:val="0"/>
          <w:bCs w:val="0"/>
          <w:color w:val="auto"/>
          <w:spacing w:val="-10"/>
          <w:sz w:val="32"/>
          <w:szCs w:val="32"/>
          <w:lang w:val="en-US" w:eastAsia="zh-CN"/>
        </w:rPr>
        <w:t xml:space="preserve"> 为持续优化我市营商环境，助力全市经济高质量发展，促进投资项目极速开工极速投用，有效降低制度性成本，进一步激发市场主体活力。根据《国务院关于加快推进政务服务标准化规范化便利化的指导意见》（国发〔2022〕5号）、《中华人民共和国土地管理法》、《中华人民共和国城镇国有土地使用权出让和转让暂行条例》(国务院5号令)、《不动产登记暂行条例实施细则)(国土资源部令第63号)、《浙江省深化工程建设项目审批制度改革工作实施方案》等法律法规及有关文件精神，依托“一枚印章管审批”的优势，改革审批服务方式，优化审批流程，提高审批效率，以企业承诺和需求为办事基础，支持企业盘活土地资源，破解企业融资难、融资贵及融资形式单一等问题。</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二、改革目标和适用范围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_GB2312" w:hAnsi="仿宋_GB2312" w:eastAsia="仿宋_GB2312" w:cs="仿宋_GB2312"/>
          <w:b w:val="0"/>
          <w:bCs w:val="0"/>
          <w:color w:val="auto"/>
          <w:spacing w:val="-10"/>
          <w:sz w:val="32"/>
          <w:szCs w:val="32"/>
          <w:lang w:val="en-US" w:eastAsia="zh-CN"/>
        </w:rPr>
        <w:t>投资项目极速投用“一件事”改革的目标，是实现设定范围内的投资项目“三即时”极速办理：“拿地即开工”促项目早开工；“预验即投用”促项目早投产；“竣工即领证”促项目早拿证。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 w:hAnsi="仿宋" w:eastAsia="仿宋" w:cs="仿宋"/>
          <w:b/>
          <w:bCs/>
          <w:color w:val="auto"/>
          <w:sz w:val="32"/>
          <w:szCs w:val="32"/>
          <w:lang w:val="en-US" w:eastAsia="zh-CN"/>
        </w:rPr>
        <w:t>（一）“拿地即开工”。</w:t>
      </w:r>
      <w:r>
        <w:rPr>
          <w:rFonts w:hint="eastAsia" w:ascii="仿宋_GB2312" w:hAnsi="仿宋_GB2312" w:eastAsia="仿宋_GB2312" w:cs="仿宋_GB2312"/>
          <w:b w:val="0"/>
          <w:bCs w:val="0"/>
          <w:color w:val="auto"/>
          <w:spacing w:val="-10"/>
          <w:sz w:val="32"/>
          <w:szCs w:val="32"/>
          <w:lang w:val="en-US" w:eastAsia="zh-CN"/>
        </w:rPr>
        <w:t>投资项目，根据出让地块意向单位的申请，利用地块挂牌期及出让合同签订准备期，采取“模拟审批”的方式，出让地块意向单位先行开展项目的准备工作（包括确定勘察设计单位、地质勘探、设计试桩、方案和施工图设计、确定施工监理单位和施工现场临时水电等），各审批部门对意向企业的方案进行提前审查，以“四个一”的审批改革理念为基础，将企业的“等地期”转变为“前审期”，同时业主单位在签订国有建设用地使用权出让合同并取得交地确认书后，同步办理完成开工前许可手续。适用于以出让方式取得土地的企业投资新建的工业类和以划拨方式取得土地的公建项目，但以下工程建设项目不适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_GB2312" w:hAnsi="仿宋_GB2312" w:eastAsia="仿宋_GB2312" w:cs="仿宋_GB2312"/>
          <w:b w:val="0"/>
          <w:bCs w:val="0"/>
          <w:color w:val="auto"/>
          <w:spacing w:val="-10"/>
          <w:sz w:val="32"/>
          <w:szCs w:val="32"/>
          <w:lang w:val="en-US" w:eastAsia="zh-CN"/>
        </w:rPr>
        <w:t xml:space="preserve">    1.涉及易燃易爆危险品、危险化学品的生产和储存或者技术难度特别复杂的项目；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_GB2312" w:hAnsi="仿宋_GB2312" w:eastAsia="仿宋_GB2312" w:cs="仿宋_GB2312"/>
          <w:b w:val="0"/>
          <w:bCs w:val="0"/>
          <w:color w:val="auto"/>
          <w:spacing w:val="-10"/>
          <w:sz w:val="32"/>
          <w:szCs w:val="32"/>
          <w:lang w:val="en-US" w:eastAsia="zh-CN"/>
        </w:rPr>
        <w:t xml:space="preserve">    2.事关国家安全和生态安全、涉及重大生产力布局、重大公共利益的建设项目；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_GB2312" w:hAnsi="仿宋_GB2312" w:eastAsia="仿宋_GB2312" w:cs="仿宋_GB2312"/>
          <w:b w:val="0"/>
          <w:bCs w:val="0"/>
          <w:color w:val="auto"/>
          <w:spacing w:val="-10"/>
          <w:sz w:val="32"/>
          <w:szCs w:val="32"/>
          <w:lang w:val="en-US" w:eastAsia="zh-CN"/>
        </w:rPr>
        <w:t xml:space="preserve">    3.环境保护等法律法规规定的不得擅自开工的建设项目；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lang w:val="en-US" w:eastAsia="zh-CN"/>
        </w:rPr>
      </w:pPr>
      <w:r>
        <w:rPr>
          <w:rFonts w:hint="eastAsia" w:ascii="仿宋_GB2312" w:hAnsi="仿宋_GB2312" w:eastAsia="仿宋_GB2312" w:cs="仿宋_GB2312"/>
          <w:b w:val="0"/>
          <w:bCs w:val="0"/>
          <w:color w:val="auto"/>
          <w:spacing w:val="-10"/>
          <w:sz w:val="32"/>
          <w:szCs w:val="32"/>
          <w:lang w:val="en-US" w:eastAsia="zh-CN"/>
        </w:rPr>
        <w:t xml:space="preserve">    4.须特殊管理的建设项目。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（二）“预验即投用”。</w:t>
      </w:r>
      <w:r>
        <w:rPr>
          <w:rFonts w:hint="eastAsia" w:ascii="仿宋" w:hAnsi="仿宋" w:eastAsia="仿宋" w:cs="仿宋"/>
          <w:color w:val="auto"/>
          <w:sz w:val="32"/>
          <w:szCs w:val="32"/>
          <w:lang w:val="en-US" w:eastAsia="zh-CN"/>
        </w:rPr>
        <w:t>投资项目在竣工验收之前，参与工程建设的各方主体在相关部门的监督下，对工程建设项目进行初步验收，及时发现问题并进行整改，预验收通过后，业主单位进行试运行。适用于以出让方式取得土地的企业投资新建的工业类和以划拨方式取得土地的公建项目，但以下工程建设项目不适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生产或存放易燃、易爆、有毒、有害物品或危险品的仓库和厂房</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市政管网配套不健全，需要破坏城市主干道或快速路的</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位于文物保护地带、建控地带、地下文物埋藏区、《建设项目环境影响评价分类管理名录》确定的环境敏感区</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位于机要单位和名木古树30米范围内</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5.可能影响周边主体相邻权等合法权益的项目；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6.占用河湖水域或河道及水利工程管理范围的项目。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（三）“竣工即领证”。</w:t>
      </w:r>
      <w:r>
        <w:rPr>
          <w:rFonts w:hint="eastAsia" w:ascii="仿宋" w:hAnsi="仿宋" w:eastAsia="仿宋" w:cs="仿宋"/>
          <w:color w:val="auto"/>
          <w:sz w:val="32"/>
          <w:szCs w:val="32"/>
          <w:lang w:val="en-US" w:eastAsia="zh-CN"/>
        </w:rPr>
        <w:t>投资项目通过各职能部门的协作、项目数据集成共享、行政审批流程再造等路径，实现竣工验收与不动产登记同步办理，项目竣工验收通过后即可领取不动产权证。适用于全市范围内的企业投资工业企业项目。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三、改革措施和办理方式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托我市实施相对集中许可权，审批主体高度集成优势，综合运用模拟审批、承诺审批、容缺审批、分段审批、联测联验等制度，实行设定范围的投资项目“一机构、一枚章、一件事、一次办”改革模式，以此缩短业主单位办理投资项目的审批周期，提高政府部门的行政效率，履行好政府的承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（一）“拿地即开工”按以下流程办理：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1.前期准备阶段。</w:t>
      </w:r>
      <w:r>
        <w:rPr>
          <w:rFonts w:hint="eastAsia" w:ascii="仿宋" w:hAnsi="仿宋" w:eastAsia="仿宋" w:cs="仿宋"/>
          <w:color w:val="auto"/>
          <w:sz w:val="32"/>
          <w:szCs w:val="32"/>
          <w:lang w:val="en-US" w:eastAsia="zh-CN"/>
        </w:rPr>
        <w:t>在土地挂牌期间，通过资格审查准入的意向企业利用出让公告期，事先委托技术单位编制相应设计文本，凭“拿地即开工”申请表、“拿地即开工”承诺书、设计文本等向行政审批局申请。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2.方案审查阶段。</w:t>
      </w:r>
      <w:r>
        <w:rPr>
          <w:rFonts w:hint="eastAsia" w:ascii="仿宋" w:hAnsi="仿宋" w:eastAsia="仿宋" w:cs="仿宋"/>
          <w:color w:val="auto"/>
          <w:sz w:val="32"/>
          <w:szCs w:val="32"/>
          <w:lang w:val="en-US" w:eastAsia="zh-CN"/>
        </w:rPr>
        <w:t>经市行政审批局受理后，由市行政审批局组织经发、资源与建设、执法、交警、应急、新城等相关部门先行对设计方案进行审查并出具审查意见汇总表，企业根据部门意见修改并报行政审批局确认同意后，由市行政审批局出具同意设计方案的模拟审查意见。企业在取得同意意见后即开展施工图设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3.合同签订阶段。</w:t>
      </w:r>
      <w:r>
        <w:rPr>
          <w:rFonts w:hint="eastAsia" w:ascii="仿宋" w:hAnsi="仿宋" w:eastAsia="仿宋" w:cs="仿宋"/>
          <w:color w:val="auto"/>
          <w:sz w:val="32"/>
          <w:szCs w:val="32"/>
          <w:lang w:val="en-US" w:eastAsia="zh-CN"/>
        </w:rPr>
        <w:t>在业主签订土地成交确认书后，市行政审批局当天受理赋码，有关部门不再开展设计方案审查，直接凭土地成交确认书将市行政审批局牵头审定的方案进行建设工程规划许可批前公示，市行政审批局会同相关部门同步开展备案等前期审查工作。业主同步按要求签订土地出让合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4.许可核发阶段。</w:t>
      </w:r>
      <w:r>
        <w:rPr>
          <w:rFonts w:hint="eastAsia" w:ascii="仿宋" w:hAnsi="仿宋" w:eastAsia="仿宋" w:cs="仿宋"/>
          <w:color w:val="auto"/>
          <w:sz w:val="32"/>
          <w:szCs w:val="32"/>
          <w:lang w:val="en-US" w:eastAsia="zh-CN"/>
        </w:rPr>
        <w:t>业主签订土地出让合同的当天，业主凭申请表、土地合同、环评报告、水土保持方案、设计方案、施工图等材料向市行政审批局申请项目备案、用地规划许可、设计方案批复、工程规划许可、施工许可、环评、水土保持方案、人防工程建设核实等事项。市行政审批局在1个工作日内予以办理并颁发上述许可证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（二）“预验即投用”按以下要求组织实施要求及流程办理：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1.组织实施要求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（1）项目建设阶段中</w:t>
      </w:r>
      <w:r>
        <w:rPr>
          <w:rFonts w:hint="eastAsia" w:ascii="仿宋" w:hAnsi="仿宋" w:eastAsia="仿宋" w:cs="仿宋"/>
          <w:color w:val="auto"/>
          <w:sz w:val="32"/>
          <w:szCs w:val="32"/>
          <w:lang w:eastAsia="zh-CN"/>
        </w:rPr>
        <w:t>相关部门要加强监督和指导，应</w:t>
      </w: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投资</w:t>
      </w:r>
      <w:r>
        <w:rPr>
          <w:rFonts w:hint="eastAsia" w:ascii="仿宋" w:hAnsi="仿宋" w:eastAsia="仿宋" w:cs="仿宋"/>
          <w:color w:val="auto"/>
          <w:sz w:val="32"/>
          <w:szCs w:val="32"/>
        </w:rPr>
        <w:t>建设项目的实际情况，对验收流程、组织形式、验收内容、评定标准、监督方式及各方主体的职责进行指导，督促</w:t>
      </w:r>
      <w:r>
        <w:rPr>
          <w:rFonts w:hint="eastAsia" w:ascii="仿宋" w:hAnsi="仿宋" w:eastAsia="仿宋" w:cs="仿宋"/>
          <w:color w:val="auto"/>
          <w:sz w:val="32"/>
          <w:szCs w:val="32"/>
          <w:lang w:eastAsia="zh-CN"/>
        </w:rPr>
        <w:t>业主单位</w:t>
      </w:r>
      <w:r>
        <w:rPr>
          <w:rFonts w:hint="eastAsia" w:ascii="仿宋" w:hAnsi="仿宋" w:eastAsia="仿宋" w:cs="仿宋"/>
          <w:color w:val="auto"/>
          <w:sz w:val="32"/>
          <w:szCs w:val="32"/>
        </w:rPr>
        <w:t>严格按照工程规范落实，避免</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后期验收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走弯路、多走路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color w:val="auto"/>
          <w:sz w:val="32"/>
          <w:szCs w:val="32"/>
        </w:rPr>
        <w:t>加强“浙里工程建设现场管控”（以下简称“浙里建”）系统的运用，推进</w:t>
      </w:r>
      <w:r>
        <w:rPr>
          <w:rFonts w:hint="eastAsia" w:ascii="仿宋" w:hAnsi="仿宋" w:eastAsia="仿宋" w:cs="仿宋"/>
          <w:color w:val="auto"/>
          <w:sz w:val="32"/>
          <w:szCs w:val="32"/>
          <w:lang w:eastAsia="zh-CN"/>
        </w:rPr>
        <w:t>工程建设全过程数字化图纸等</w:t>
      </w:r>
      <w:r>
        <w:rPr>
          <w:rFonts w:hint="eastAsia" w:ascii="仿宋" w:hAnsi="仿宋" w:eastAsia="仿宋" w:cs="仿宋"/>
          <w:color w:val="auto"/>
          <w:sz w:val="32"/>
          <w:szCs w:val="32"/>
        </w:rPr>
        <w:t>数据共享和联动配合，实现各参建单位间、监管部门间、参建单位和监管部门间在工程建设项目监管、验收、服务方面的业务协同，提高监管的便捷性和精准性。</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工业厂房建设项目</w:t>
      </w:r>
      <w:r>
        <w:rPr>
          <w:rFonts w:hint="eastAsia" w:ascii="仿宋" w:hAnsi="仿宋" w:eastAsia="仿宋" w:cs="仿宋"/>
          <w:color w:val="auto"/>
          <w:sz w:val="32"/>
          <w:szCs w:val="32"/>
          <w:lang w:eastAsia="zh-CN"/>
        </w:rPr>
        <w:t>应采取</w:t>
      </w:r>
      <w:r>
        <w:rPr>
          <w:rFonts w:hint="eastAsia" w:ascii="仿宋" w:hAnsi="仿宋" w:eastAsia="仿宋" w:cs="仿宋"/>
          <w:color w:val="auto"/>
          <w:sz w:val="32"/>
          <w:szCs w:val="32"/>
        </w:rPr>
        <w:t>分栋、分层验收</w:t>
      </w:r>
      <w:r>
        <w:rPr>
          <w:rFonts w:hint="eastAsia" w:ascii="仿宋" w:hAnsi="仿宋" w:eastAsia="仿宋" w:cs="仿宋"/>
          <w:color w:val="auto"/>
          <w:sz w:val="32"/>
          <w:szCs w:val="32"/>
          <w:lang w:eastAsia="zh-CN"/>
        </w:rPr>
        <w:t>方式，资规部门</w:t>
      </w:r>
      <w:r>
        <w:rPr>
          <w:rFonts w:hint="eastAsia" w:ascii="仿宋" w:hAnsi="仿宋" w:eastAsia="仿宋" w:cs="仿宋"/>
          <w:color w:val="auto"/>
          <w:sz w:val="32"/>
          <w:szCs w:val="32"/>
        </w:rPr>
        <w:t>对砼龄期已达到要求的部位，做到成熟一段、检测一段、验收一段，工业厂房在结构尚未封顶的情况下</w:t>
      </w:r>
      <w:r>
        <w:rPr>
          <w:rFonts w:hint="eastAsia" w:ascii="仿宋" w:hAnsi="仿宋" w:eastAsia="仿宋" w:cs="仿宋"/>
          <w:color w:val="auto"/>
          <w:sz w:val="32"/>
          <w:szCs w:val="32"/>
          <w:lang w:eastAsia="zh-CN"/>
        </w:rPr>
        <w:t>，可对</w:t>
      </w:r>
      <w:r>
        <w:rPr>
          <w:rFonts w:hint="eastAsia" w:ascii="仿宋" w:hAnsi="仿宋" w:eastAsia="仿宋" w:cs="仿宋"/>
          <w:color w:val="auto"/>
          <w:sz w:val="32"/>
          <w:szCs w:val="32"/>
        </w:rPr>
        <w:t>已完工楼层</w:t>
      </w:r>
      <w:r>
        <w:rPr>
          <w:rFonts w:hint="eastAsia" w:ascii="仿宋" w:hAnsi="仿宋" w:eastAsia="仿宋" w:cs="仿宋"/>
          <w:color w:val="auto"/>
          <w:sz w:val="32"/>
          <w:szCs w:val="32"/>
          <w:lang w:eastAsia="zh-CN"/>
        </w:rPr>
        <w:t>开展</w:t>
      </w:r>
      <w:r>
        <w:rPr>
          <w:rFonts w:hint="eastAsia" w:ascii="仿宋" w:hAnsi="仿宋" w:eastAsia="仿宋" w:cs="仿宋"/>
          <w:color w:val="auto"/>
          <w:sz w:val="32"/>
          <w:szCs w:val="32"/>
        </w:rPr>
        <w:t>装饰装修，确保房屋主体结顶后快速通过主体结构验收。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在工程项目的预验收阶段，</w:t>
      </w:r>
      <w:r>
        <w:rPr>
          <w:rFonts w:hint="eastAsia" w:ascii="仿宋" w:hAnsi="仿宋" w:eastAsia="仿宋" w:cs="仿宋"/>
          <w:color w:val="auto"/>
          <w:sz w:val="32"/>
          <w:szCs w:val="32"/>
          <w:lang w:eastAsia="zh-CN"/>
        </w:rPr>
        <w:t>应最大限度地压缩</w:t>
      </w:r>
      <w:r>
        <w:rPr>
          <w:rFonts w:hint="eastAsia" w:ascii="仿宋" w:hAnsi="仿宋" w:eastAsia="仿宋" w:cs="仿宋"/>
          <w:color w:val="auto"/>
          <w:sz w:val="32"/>
          <w:szCs w:val="32"/>
        </w:rPr>
        <w:t>资料审查内容，办理时限缩减至2个工作日</w:t>
      </w:r>
      <w:r>
        <w:rPr>
          <w:rFonts w:hint="eastAsia" w:ascii="仿宋" w:hAnsi="仿宋" w:eastAsia="仿宋" w:cs="仿宋"/>
          <w:color w:val="auto"/>
          <w:sz w:val="32"/>
          <w:szCs w:val="32"/>
          <w:lang w:eastAsia="zh-CN"/>
        </w:rPr>
        <w:t>以内</w:t>
      </w:r>
      <w:r>
        <w:rPr>
          <w:rFonts w:hint="eastAsia" w:ascii="仿宋" w:hAnsi="仿宋" w:eastAsia="仿宋" w:cs="仿宋"/>
          <w:color w:val="auto"/>
          <w:sz w:val="32"/>
          <w:szCs w:val="32"/>
        </w:rPr>
        <w:t>。对电梯、智能</w:t>
      </w:r>
      <w:r>
        <w:rPr>
          <w:rFonts w:hint="eastAsia" w:ascii="仿宋" w:hAnsi="仿宋" w:eastAsia="仿宋" w:cs="仿宋"/>
          <w:color w:val="auto"/>
          <w:sz w:val="32"/>
          <w:szCs w:val="32"/>
          <w:lang w:eastAsia="zh-CN"/>
        </w:rPr>
        <w:t>设备</w:t>
      </w:r>
      <w:r>
        <w:rPr>
          <w:rFonts w:hint="eastAsia" w:ascii="仿宋" w:hAnsi="仿宋" w:eastAsia="仿宋" w:cs="仿宋"/>
          <w:color w:val="auto"/>
          <w:sz w:val="32"/>
          <w:szCs w:val="32"/>
        </w:rPr>
        <w:t>、高压设备（继电保护）等检测时限较长的专项检测报告及竣工验收资料实行承诺容缺制，先行组织预验收，在竣工验收前</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补齐相关资料。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在申请竣工预验收前，</w:t>
      </w:r>
      <w:r>
        <w:rPr>
          <w:rFonts w:hint="eastAsia" w:ascii="仿宋" w:hAnsi="仿宋" w:eastAsia="仿宋" w:cs="仿宋"/>
          <w:color w:val="auto"/>
          <w:sz w:val="32"/>
          <w:szCs w:val="32"/>
          <w:lang w:eastAsia="zh-CN"/>
        </w:rPr>
        <w:t>应与相关部门签订政企合同，明确业主单位</w:t>
      </w:r>
      <w:r>
        <w:rPr>
          <w:rFonts w:hint="eastAsia" w:ascii="仿宋" w:hAnsi="仿宋" w:eastAsia="仿宋" w:cs="仿宋"/>
          <w:color w:val="auto"/>
          <w:sz w:val="32"/>
          <w:szCs w:val="32"/>
        </w:rPr>
        <w:t>和部门各方的权利义务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相关部门在合同约定的条款下加强全程服务和事中事后监管，确保项目质量安全。</w:t>
      </w:r>
    </w:p>
    <w:p>
      <w:pPr>
        <w:keepNext w:val="0"/>
        <w:keepLines w:val="0"/>
        <w:pageBreakBefore w:val="0"/>
        <w:kinsoku/>
        <w:wordWrap/>
        <w:overflowPunct/>
        <w:topLinePunct w:val="0"/>
        <w:autoSpaceDE/>
        <w:autoSpaceDN/>
        <w:bidi w:val="0"/>
        <w:snapToGrid/>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2.具体办理流程</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（1）项目业主</w:t>
      </w:r>
      <w:r>
        <w:rPr>
          <w:rFonts w:hint="eastAsia" w:ascii="仿宋" w:hAnsi="仿宋" w:eastAsia="仿宋" w:cs="仿宋"/>
          <w:color w:val="auto"/>
          <w:sz w:val="32"/>
          <w:szCs w:val="32"/>
        </w:rPr>
        <w:t>根据项目建设实际情况，可申请单幢部分、单幢、分批或全部厂房主体结构验收。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（2）投资项目</w:t>
      </w:r>
      <w:r>
        <w:rPr>
          <w:rFonts w:hint="eastAsia" w:ascii="仿宋" w:hAnsi="仿宋" w:eastAsia="仿宋" w:cs="仿宋"/>
          <w:color w:val="auto"/>
          <w:sz w:val="32"/>
          <w:szCs w:val="32"/>
        </w:rPr>
        <w:t>在基本达到竣工预验收条件的前提下，允许企业提前进行生产设备的搬运、安装。</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（3）项目业主</w:t>
      </w:r>
      <w:r>
        <w:rPr>
          <w:rFonts w:hint="eastAsia" w:ascii="仿宋" w:hAnsi="仿宋" w:eastAsia="仿宋" w:cs="仿宋"/>
          <w:color w:val="auto"/>
          <w:sz w:val="32"/>
          <w:szCs w:val="32"/>
        </w:rPr>
        <w:t>须按照审批及设计图纸要求完成施工合同内容，方可申请竣工预验收。</w:t>
      </w:r>
      <w:r>
        <w:rPr>
          <w:rFonts w:hint="eastAsia" w:ascii="仿宋" w:hAnsi="仿宋" w:eastAsia="仿宋" w:cs="仿宋"/>
          <w:color w:val="auto"/>
          <w:sz w:val="32"/>
          <w:szCs w:val="32"/>
          <w:lang w:eastAsia="zh-CN"/>
        </w:rPr>
        <w:t>资源与建设部门</w:t>
      </w:r>
      <w:r>
        <w:rPr>
          <w:rFonts w:hint="eastAsia" w:ascii="仿宋" w:hAnsi="仿宋" w:eastAsia="仿宋" w:cs="仿宋"/>
          <w:color w:val="auto"/>
          <w:sz w:val="32"/>
          <w:szCs w:val="32"/>
        </w:rPr>
        <w:t>应在收到企业申请后2个工作日内组织竣工预验收</w:t>
      </w:r>
      <w:r>
        <w:rPr>
          <w:rFonts w:hint="eastAsia" w:ascii="仿宋" w:hAnsi="仿宋" w:eastAsia="仿宋" w:cs="仿宋"/>
          <w:color w:val="auto"/>
          <w:sz w:val="32"/>
          <w:szCs w:val="32"/>
          <w:lang w:eastAsia="zh-CN"/>
        </w:rPr>
        <w:t>，需要规划、消防等专项验收介入的，由资源与建设部门通知市行政审批局参与预验收</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通过竣工预验收后，在符合安全生产条件的情况下，在企业承诺保证不变动主体结构、平面布局和使用功能的前提下，允许</w:t>
      </w:r>
      <w:r>
        <w:rPr>
          <w:rFonts w:hint="eastAsia" w:ascii="仿宋" w:hAnsi="仿宋" w:eastAsia="仿宋" w:cs="仿宋"/>
          <w:color w:val="auto"/>
          <w:sz w:val="32"/>
          <w:szCs w:val="32"/>
          <w:lang w:eastAsia="zh-CN"/>
        </w:rPr>
        <w:t>业主单位</w:t>
      </w:r>
      <w:r>
        <w:rPr>
          <w:rFonts w:hint="eastAsia" w:ascii="仿宋" w:hAnsi="仿宋" w:eastAsia="仿宋" w:cs="仿宋"/>
          <w:color w:val="auto"/>
          <w:sz w:val="32"/>
          <w:szCs w:val="32"/>
        </w:rPr>
        <w:t>提前进行试生产</w:t>
      </w:r>
      <w:r>
        <w:rPr>
          <w:rFonts w:hint="eastAsia" w:ascii="仿宋" w:hAnsi="仿宋" w:eastAsia="仿宋" w:cs="仿宋"/>
          <w:color w:val="auto"/>
          <w:sz w:val="32"/>
          <w:szCs w:val="32"/>
          <w:lang w:eastAsia="zh-CN"/>
        </w:rPr>
        <w:t>和投用</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在建设工程整体完成后，</w:t>
      </w:r>
      <w:r>
        <w:rPr>
          <w:rFonts w:hint="eastAsia" w:ascii="仿宋" w:hAnsi="仿宋" w:eastAsia="仿宋" w:cs="仿宋"/>
          <w:color w:val="auto"/>
          <w:sz w:val="32"/>
          <w:szCs w:val="32"/>
          <w:lang w:eastAsia="zh-CN"/>
        </w:rPr>
        <w:t>业主单位</w:t>
      </w:r>
      <w:r>
        <w:rPr>
          <w:rFonts w:hint="eastAsia" w:ascii="仿宋" w:hAnsi="仿宋" w:eastAsia="仿宋" w:cs="仿宋"/>
          <w:color w:val="auto"/>
          <w:sz w:val="32"/>
          <w:szCs w:val="32"/>
        </w:rPr>
        <w:t>应按照《国有建设用地使用权合同》约定的竣工时间要求及时向相关部门（单位）申请竣工验收。在符合安全生产条件的情况下，且</w:t>
      </w:r>
      <w:r>
        <w:rPr>
          <w:rFonts w:hint="eastAsia" w:ascii="仿宋" w:hAnsi="仿宋" w:eastAsia="仿宋" w:cs="仿宋"/>
          <w:color w:val="auto"/>
          <w:sz w:val="32"/>
          <w:szCs w:val="32"/>
          <w:lang w:eastAsia="zh-CN"/>
        </w:rPr>
        <w:t>业主单位</w:t>
      </w:r>
      <w:r>
        <w:rPr>
          <w:rFonts w:hint="eastAsia" w:ascii="仿宋" w:hAnsi="仿宋" w:eastAsia="仿宋" w:cs="仿宋"/>
          <w:color w:val="auto"/>
          <w:sz w:val="32"/>
          <w:szCs w:val="32"/>
        </w:rPr>
        <w:t>未对承诺内容作出改变的，竣工预验收意见作为最终竣</w:t>
      </w:r>
      <w:r>
        <w:rPr>
          <w:rFonts w:hint="eastAsia" w:ascii="仿宋" w:hAnsi="仿宋" w:eastAsia="仿宋" w:cs="仿宋"/>
          <w:b w:val="0"/>
          <w:bCs w:val="0"/>
          <w:color w:val="auto"/>
          <w:kern w:val="2"/>
          <w:sz w:val="32"/>
          <w:szCs w:val="32"/>
          <w:lang w:val="en-US" w:eastAsia="zh-CN" w:bidi="ar-SA"/>
        </w:rPr>
        <w:t>工验收的重要依据。</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（三）“竣工即领证”按以下流程办理：</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仿宋" w:hAnsi="仿宋" w:eastAsia="仿宋" w:cs="仿宋"/>
          <w:b w:val="0"/>
          <w:bCs w:val="0"/>
          <w:strike w:val="0"/>
          <w:dstrike/>
          <w:color w:val="auto"/>
          <w:kern w:val="2"/>
          <w:sz w:val="32"/>
          <w:szCs w:val="32"/>
          <w:highlight w:val="yellow"/>
          <w:lang w:val="en-US" w:eastAsia="zh-CN" w:bidi="ar-SA"/>
        </w:rPr>
      </w:pPr>
      <w:r>
        <w:rPr>
          <w:rFonts w:hint="eastAsia" w:ascii="仿宋" w:hAnsi="仿宋" w:eastAsia="仿宋" w:cs="仿宋"/>
          <w:b w:val="0"/>
          <w:bCs w:val="0"/>
          <w:color w:val="auto"/>
          <w:kern w:val="2"/>
          <w:sz w:val="32"/>
          <w:szCs w:val="32"/>
          <w:lang w:val="en-US" w:eastAsia="zh-CN" w:bidi="ar-SA"/>
        </w:rPr>
        <w:t>1、企业申报。投资项目竣工并满足联合验收基本条件后，建设单位申请项目联合验收，</w:t>
      </w:r>
      <w:r>
        <w:rPr>
          <w:rFonts w:hint="eastAsia" w:ascii="仿宋" w:hAnsi="仿宋" w:eastAsia="仿宋" w:cs="仿宋"/>
          <w:sz w:val="32"/>
          <w:szCs w:val="32"/>
          <w:lang w:eastAsia="zh-CN"/>
        </w:rPr>
        <w:t>市行政审批局</w:t>
      </w:r>
      <w:r>
        <w:rPr>
          <w:rFonts w:hint="eastAsia" w:ascii="仿宋" w:hAnsi="仿宋" w:eastAsia="仿宋" w:cs="仿宋"/>
          <w:b w:val="0"/>
          <w:bCs w:val="0"/>
          <w:color w:val="auto"/>
          <w:kern w:val="2"/>
          <w:sz w:val="32"/>
          <w:szCs w:val="32"/>
          <w:lang w:val="en-US" w:eastAsia="zh-CN" w:bidi="ar-SA"/>
        </w:rPr>
        <w:t>应组织资源与建设部门组建服务专班，全程开展指导服务。</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仿宋" w:hAnsi="仿宋" w:eastAsia="仿宋" w:cs="仿宋"/>
          <w:b w:val="0"/>
          <w:bCs w:val="0"/>
          <w:strike w:val="0"/>
          <w:dstrike/>
          <w:color w:val="auto"/>
          <w:kern w:val="2"/>
          <w:sz w:val="32"/>
          <w:szCs w:val="32"/>
          <w:highlight w:val="yellow"/>
          <w:lang w:val="en-US" w:eastAsia="zh-CN" w:bidi="ar-SA"/>
        </w:rPr>
      </w:pPr>
      <w:r>
        <w:rPr>
          <w:rFonts w:hint="eastAsia" w:ascii="仿宋" w:hAnsi="仿宋" w:eastAsia="仿宋" w:cs="仿宋"/>
          <w:b w:val="0"/>
          <w:bCs w:val="0"/>
          <w:color w:val="auto"/>
          <w:kern w:val="2"/>
          <w:sz w:val="32"/>
          <w:szCs w:val="32"/>
          <w:lang w:val="en-US" w:eastAsia="zh-CN" w:bidi="ar-SA"/>
        </w:rPr>
        <w:t>2、联合验收。</w:t>
      </w:r>
      <w:r>
        <w:rPr>
          <w:rFonts w:hint="eastAsia" w:ascii="仿宋" w:hAnsi="仿宋" w:eastAsia="仿宋" w:cs="仿宋"/>
          <w:sz w:val="32"/>
          <w:szCs w:val="32"/>
          <w:lang w:eastAsia="zh-CN"/>
        </w:rPr>
        <w:t>市行政审批局</w:t>
      </w:r>
      <w:r>
        <w:rPr>
          <w:rFonts w:hint="eastAsia" w:ascii="仿宋" w:hAnsi="仿宋" w:eastAsia="仿宋" w:cs="仿宋"/>
          <w:b w:val="0"/>
          <w:bCs w:val="0"/>
          <w:color w:val="auto"/>
          <w:kern w:val="2"/>
          <w:sz w:val="32"/>
          <w:szCs w:val="32"/>
          <w:lang w:val="en-US" w:eastAsia="zh-CN" w:bidi="ar-SA"/>
        </w:rPr>
        <w:t>应组织参验部门开展现场联合验收，汇总联合验收意见反馈建设单位。</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成果入库。各参验部门的验收事项已经符合要求的，无需等待其他事项审批结果，通过3.0系统直接办结并出具审批结果；本部门审查内容已经符合要求但其他部门前置验收结果尚未出具的，可按其他部门通过验收的情形先完成内部审批流程，待其他部门出具的验收合格结果文书（证照）通过3.0系统自动补充后，立即办结验收事项。建设用地复核验收、建设工程竣工规划核实、</w:t>
      </w:r>
      <w:r>
        <w:rPr>
          <w:rFonts w:hint="eastAsia" w:ascii="仿宋" w:hAnsi="仿宋" w:eastAsia="仿宋" w:cs="仿宋"/>
          <w:b w:val="0"/>
          <w:bCs w:val="0"/>
          <w:strike w:val="0"/>
          <w:dstrike w:val="0"/>
          <w:color w:val="auto"/>
          <w:kern w:val="2"/>
          <w:sz w:val="32"/>
          <w:szCs w:val="32"/>
          <w:highlight w:val="none"/>
          <w:lang w:val="en-US" w:eastAsia="zh-CN" w:bidi="ar-SA"/>
        </w:rPr>
        <w:t>竣工验收备案（含人防）事</w:t>
      </w:r>
      <w:r>
        <w:rPr>
          <w:rFonts w:hint="eastAsia" w:ascii="仿宋" w:hAnsi="仿宋" w:eastAsia="仿宋" w:cs="仿宋"/>
          <w:b w:val="0"/>
          <w:bCs w:val="0"/>
          <w:color w:val="auto"/>
          <w:kern w:val="2"/>
          <w:sz w:val="32"/>
          <w:szCs w:val="32"/>
          <w:lang w:val="en-US" w:eastAsia="zh-CN" w:bidi="ar-SA"/>
        </w:rPr>
        <w:t>项办结后，</w:t>
      </w:r>
      <w:r>
        <w:rPr>
          <w:rFonts w:hint="eastAsia" w:ascii="仿宋" w:hAnsi="仿宋" w:eastAsia="仿宋" w:cs="仿宋"/>
          <w:b w:val="0"/>
          <w:bCs w:val="0"/>
          <w:strike w:val="0"/>
          <w:dstrike w:val="0"/>
          <w:color w:val="auto"/>
          <w:kern w:val="2"/>
          <w:sz w:val="32"/>
          <w:szCs w:val="32"/>
          <w:highlight w:val="none"/>
          <w:lang w:val="en-US" w:eastAsia="zh-CN" w:bidi="ar-SA"/>
        </w:rPr>
        <w:t>不动产权籍调查</w:t>
      </w:r>
      <w:r>
        <w:rPr>
          <w:rFonts w:hint="eastAsia" w:ascii="仿宋" w:hAnsi="仿宋" w:eastAsia="仿宋" w:cs="仿宋"/>
          <w:b w:val="0"/>
          <w:bCs w:val="0"/>
          <w:color w:val="auto"/>
          <w:kern w:val="2"/>
          <w:sz w:val="32"/>
          <w:szCs w:val="32"/>
          <w:highlight w:val="none"/>
          <w:lang w:val="en-US" w:eastAsia="zh-CN" w:bidi="ar-SA"/>
        </w:rPr>
        <w:t>数据符合标准的</w:t>
      </w:r>
      <w:r>
        <w:rPr>
          <w:rFonts w:hint="eastAsia" w:ascii="仿宋" w:hAnsi="仿宋" w:eastAsia="仿宋" w:cs="仿宋"/>
          <w:b w:val="0"/>
          <w:bCs w:val="0"/>
          <w:color w:val="auto"/>
          <w:kern w:val="2"/>
          <w:sz w:val="32"/>
          <w:szCs w:val="32"/>
          <w:lang w:val="en-US" w:eastAsia="zh-CN" w:bidi="ar-SA"/>
        </w:rPr>
        <w:t>，不动产登记中心1个工作日内完成不动产权籍调查成果入库。</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仿宋" w:hAnsi="仿宋" w:eastAsia="仿宋" w:cs="仿宋"/>
          <w:b w:val="0"/>
          <w:bCs w:val="0"/>
          <w:strike w:val="0"/>
          <w:dstrike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lang w:val="en-US" w:eastAsia="zh-CN" w:bidi="ar-SA"/>
        </w:rPr>
        <w:t>4、不动产登记。各验收事项全部办结后，建设单位向不动产登记中心申请办理不动产登记，不动产登记中心在1</w:t>
      </w:r>
      <w:r>
        <w:rPr>
          <w:rFonts w:hint="eastAsia" w:ascii="仿宋" w:hAnsi="仿宋" w:eastAsia="仿宋" w:cs="仿宋"/>
          <w:b w:val="0"/>
          <w:bCs w:val="0"/>
          <w:strike w:val="0"/>
          <w:dstrike w:val="0"/>
          <w:color w:val="auto"/>
          <w:kern w:val="2"/>
          <w:sz w:val="32"/>
          <w:szCs w:val="32"/>
          <w:highlight w:val="none"/>
          <w:lang w:val="en-US" w:eastAsia="zh-CN" w:bidi="ar-SA"/>
        </w:rPr>
        <w:t>个工作日内完成不动产证登记并出具权证。</w:t>
      </w:r>
    </w:p>
    <w:p>
      <w:pPr>
        <w:keepNext w:val="0"/>
        <w:keepLines w:val="0"/>
        <w:pageBreakBefore w:val="0"/>
        <w:kinsoku/>
        <w:wordWrap/>
        <w:overflowPunct/>
        <w:topLinePunct w:val="0"/>
        <w:autoSpaceDE/>
        <w:autoSpaceDN/>
        <w:bidi w:val="0"/>
        <w:snapToGrid/>
        <w:spacing w:line="560" w:lineRule="exact"/>
        <w:ind w:firstLine="680"/>
        <w:jc w:val="both"/>
        <w:textAlignment w:val="auto"/>
        <w:rPr>
          <w:rFonts w:hint="eastAsia" w:ascii="黑体" w:hAnsi="黑体" w:eastAsia="黑体" w:cs="黑体"/>
          <w:b w:val="0"/>
          <w:bCs w:val="0"/>
          <w:strike w:val="0"/>
          <w:dstrike w:val="0"/>
          <w:color w:val="auto"/>
          <w:kern w:val="2"/>
          <w:sz w:val="32"/>
          <w:szCs w:val="32"/>
          <w:highlight w:val="none"/>
          <w:lang w:val="en-US" w:eastAsia="zh-CN" w:bidi="ar-SA"/>
        </w:rPr>
      </w:pPr>
      <w:r>
        <w:rPr>
          <w:rFonts w:hint="eastAsia" w:ascii="黑体" w:hAnsi="黑体" w:eastAsia="黑体" w:cs="黑体"/>
          <w:b w:val="0"/>
          <w:bCs w:val="0"/>
          <w:strike w:val="0"/>
          <w:dstrike w:val="0"/>
          <w:color w:val="auto"/>
          <w:kern w:val="2"/>
          <w:sz w:val="32"/>
          <w:szCs w:val="32"/>
          <w:highlight w:val="none"/>
          <w:lang w:val="en-US" w:eastAsia="zh-CN" w:bidi="ar-SA"/>
        </w:rPr>
        <w:t>四、保障措施</w:t>
      </w:r>
    </w:p>
    <w:p>
      <w:pPr>
        <w:keepNext w:val="0"/>
        <w:keepLines w:val="0"/>
        <w:pageBreakBefore w:val="0"/>
        <w:widowControl/>
        <w:kinsoku/>
        <w:wordWrap/>
        <w:overflowPunct/>
        <w:topLinePunct w:val="0"/>
        <w:autoSpaceDE/>
        <w:autoSpaceDN/>
        <w:bidi w:val="0"/>
        <w:adjustRightInd/>
        <w:snapToGrid/>
        <w:spacing w:line="55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加强组织领导。</w:t>
      </w:r>
      <w:r>
        <w:rPr>
          <w:rFonts w:hint="eastAsia" w:ascii="仿宋_GB2312" w:hAnsi="仿宋_GB2312" w:eastAsia="仿宋_GB2312" w:cs="仿宋_GB2312"/>
          <w:sz w:val="32"/>
          <w:szCs w:val="32"/>
          <w:lang w:val="en-US" w:eastAsia="zh-CN"/>
        </w:rPr>
        <w:t>各有关单位要高度重视推行投资项目极速投用“一件事”改革，进一步加强组织领导，细化各项工作措施；市经济发展局做好工业企业项目资格审查和准入工作，牵头企业信用评价的应用；市行政审批局做好“拿地即开工”、“竣工即领证”牵头组织工作，按职责做好具体项目相关审批和验收工作；资源与建设部门做好“预验即投用”牵头组织工作，按职责做好具体项目的施工监管、竣工验收、不动产登记等工作；市综合行政执法局做好相关监管执法工作；市投资促进中心做好极速投用一件事政策宣传和企业引导工作；相关部门要各司其职，做好建设项目实施的协调、维稳工作，负责各项工作的组织实施和协调监督，按本方案要求落实相关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sz w:val="32"/>
          <w:szCs w:val="32"/>
          <w:lang w:val="en-US" w:eastAsia="zh-CN"/>
        </w:rPr>
        <w:t>（二）强化监管工作。</w:t>
      </w:r>
      <w:r>
        <w:rPr>
          <w:rFonts w:hint="eastAsia" w:ascii="仿宋" w:hAnsi="仿宋" w:eastAsia="仿宋" w:cs="仿宋"/>
          <w:color w:val="auto"/>
          <w:kern w:val="2"/>
          <w:sz w:val="32"/>
          <w:szCs w:val="32"/>
          <w:lang w:val="en-US" w:eastAsia="zh-CN" w:bidi="ar-SA"/>
        </w:rPr>
        <w:t>相关部门要按照</w:t>
      </w:r>
      <w:r>
        <w:rPr>
          <w:rFonts w:hint="eastAsia" w:ascii="仿宋" w:hAnsi="仿宋" w:eastAsia="仿宋" w:cs="仿宋"/>
          <w:color w:val="auto"/>
          <w:sz w:val="32"/>
          <w:szCs w:val="32"/>
          <w:lang w:eastAsia="zh-CN"/>
        </w:rPr>
        <w:t>“谁审批谁监管、谁主管谁监管”的要求加强项目的</w:t>
      </w:r>
      <w:r>
        <w:rPr>
          <w:rFonts w:hint="eastAsia" w:ascii="仿宋" w:hAnsi="仿宋" w:eastAsia="仿宋" w:cs="仿宋"/>
          <w:color w:val="auto"/>
          <w:sz w:val="32"/>
          <w:szCs w:val="32"/>
        </w:rPr>
        <w:t>事中、事后的监管</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lang w:val="en-US" w:eastAsia="zh-CN" w:bidi="ar-SA"/>
        </w:rPr>
        <w:t>制定具体的监管办法，加大监督检查的力度，发现问题及时处置，确保项目安全、风险可控。</w:t>
      </w:r>
    </w:p>
    <w:p>
      <w:pPr>
        <w:keepNext w:val="0"/>
        <w:keepLines w:val="0"/>
        <w:pageBreakBefore w:val="0"/>
        <w:kinsoku/>
        <w:wordWrap/>
        <w:overflowPunct/>
        <w:topLinePunct w:val="0"/>
        <w:autoSpaceDE/>
        <w:autoSpaceDN/>
        <w:bidi w:val="0"/>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（三）完善诚信体系。</w:t>
      </w:r>
      <w:r>
        <w:rPr>
          <w:rFonts w:hint="eastAsia" w:ascii="仿宋" w:hAnsi="仿宋" w:eastAsia="仿宋" w:cs="仿宋"/>
          <w:color w:val="auto"/>
          <w:sz w:val="32"/>
          <w:szCs w:val="32"/>
          <w:lang w:val="en-US" w:eastAsia="zh-CN"/>
        </w:rPr>
        <w:t>建立健全项目信用档案，对承诺行为信息和履约情况进行征集、记录、评价和应用，将企业落实承诺行为信息记入信用档案，并纳入公共征信系统</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b/>
          <w:bCs/>
          <w:sz w:val="32"/>
          <w:szCs w:val="32"/>
          <w:lang w:val="en-US" w:eastAsia="zh-CN"/>
        </w:rPr>
        <w:t>（四）实施容错免责。</w:t>
      </w:r>
      <w:r>
        <w:rPr>
          <w:rFonts w:hint="eastAsia" w:ascii="仿宋" w:hAnsi="仿宋" w:eastAsia="仿宋" w:cs="仿宋"/>
          <w:color w:val="auto"/>
          <w:sz w:val="32"/>
          <w:szCs w:val="32"/>
          <w:lang w:val="en-US" w:eastAsia="zh-CN"/>
        </w:rPr>
        <w:t>对于积极推进改革工作，但由于改革的不可预见性等不可抗力因素导致出现问题、矛盾的，根据《温州市改革创新容错免责办法（试行）》文件精神进行容错免责处理。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本方案自2022年 月 日起执行。</w:t>
      </w:r>
      <w:r>
        <w:rPr>
          <w:rFonts w:hint="eastAsia" w:ascii="仿宋" w:hAnsi="仿宋" w:eastAsia="仿宋" w:cs="仿宋"/>
          <w:color w:val="auto"/>
          <w:sz w:val="32"/>
          <w:szCs w:val="32"/>
        </w:rPr>
        <w:t>施行期间，国家法律、法规有新规定的，从其规</w:t>
      </w:r>
      <w:r>
        <w:rPr>
          <w:rFonts w:hint="eastAsia" w:ascii="仿宋" w:hAnsi="仿宋" w:eastAsia="仿宋" w:cs="仿宋"/>
          <w:color w:val="auto"/>
          <w:sz w:val="32"/>
          <w:szCs w:val="32"/>
          <w:lang w:val="en-US" w:eastAsia="zh-CN"/>
        </w:rPr>
        <w:t>定。</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1.龙港市投资项目“拿地即开工”申请表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2.龙港市投资项目“拿地即开工”承诺书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3.龙港市投资项目“拿地即开工”设计文本批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前指导意见</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4.龙港市投资项目</w:t>
      </w:r>
      <w:r>
        <w:rPr>
          <w:rFonts w:hint="eastAsia" w:ascii="仿宋_GB2312" w:hAnsi="仿宋_GB2312" w:eastAsia="仿宋_GB2312" w:cs="仿宋_GB2312"/>
          <w:sz w:val="32"/>
          <w:szCs w:val="32"/>
        </w:rPr>
        <w:t>竣工预验收必备材料清单</w:t>
      </w:r>
    </w:p>
    <w:p>
      <w:pPr>
        <w:adjustRightInd w:val="0"/>
        <w:snapToGrid w:val="0"/>
        <w:spacing w:line="560" w:lineRule="exact"/>
        <w:ind w:left="8"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龙港市投资项目</w:t>
      </w:r>
      <w:r>
        <w:rPr>
          <w:rFonts w:hint="eastAsia" w:ascii="仿宋_GB2312" w:hAnsi="仿宋_GB2312" w:eastAsia="仿宋_GB2312" w:cs="仿宋_GB2312"/>
          <w:sz w:val="32"/>
          <w:szCs w:val="32"/>
        </w:rPr>
        <w:t>竣工预验收容缺材料清单</w:t>
      </w:r>
    </w:p>
    <w:p>
      <w:pPr>
        <w:adjustRightInd w:val="0"/>
        <w:snapToGrid w:val="0"/>
        <w:spacing w:line="560" w:lineRule="exact"/>
        <w:ind w:left="64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龙港市投资项目</w:t>
      </w:r>
      <w:r>
        <w:rPr>
          <w:rFonts w:hint="eastAsia" w:ascii="仿宋_GB2312" w:hAnsi="仿宋_GB2312" w:eastAsia="仿宋_GB2312" w:cs="仿宋_GB2312"/>
          <w:sz w:val="32"/>
          <w:szCs w:val="32"/>
        </w:rPr>
        <w:t>“预验即投</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”改革试点项目合同</w:t>
      </w: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龙港市投资项目“拿地即开工”申请表</w:t>
      </w:r>
    </w:p>
    <w:p>
      <w:pPr>
        <w:pStyle w:val="2"/>
        <w:rPr>
          <w:rFonts w:hint="eastAsia"/>
          <w:lang w:val="en-US" w:eastAsia="zh-CN"/>
        </w:rPr>
      </w:pPr>
    </w:p>
    <w:tbl>
      <w:tblPr>
        <w:tblStyle w:val="6"/>
        <w:tblW w:w="921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3200"/>
        <w:gridCol w:w="160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单位</w:t>
            </w:r>
          </w:p>
        </w:tc>
        <w:tc>
          <w:tcPr>
            <w:tcW w:w="7213" w:type="dxa"/>
            <w:gridSpan w:val="3"/>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3200" w:type="dxa"/>
            <w:vAlign w:val="top"/>
          </w:tcPr>
          <w:p>
            <w:pPr>
              <w:widowControl/>
              <w:jc w:val="center"/>
              <w:rPr>
                <w:rFonts w:hint="eastAsia" w:ascii="仿宋_GB2312" w:hAnsi="仿宋_GB2312" w:eastAsia="仿宋_GB2312" w:cs="仿宋_GB2312"/>
                <w:sz w:val="28"/>
                <w:szCs w:val="28"/>
              </w:rPr>
            </w:pPr>
          </w:p>
        </w:tc>
        <w:tc>
          <w:tcPr>
            <w:tcW w:w="1600" w:type="dxa"/>
            <w:vAlign w:val="top"/>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联系方式</w:t>
            </w:r>
          </w:p>
        </w:tc>
        <w:tc>
          <w:tcPr>
            <w:tcW w:w="2413" w:type="dxa"/>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委托代理人</w:t>
            </w:r>
          </w:p>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（选填）</w:t>
            </w:r>
          </w:p>
        </w:tc>
        <w:tc>
          <w:tcPr>
            <w:tcW w:w="3200" w:type="dxa"/>
            <w:vAlign w:val="top"/>
          </w:tcPr>
          <w:p>
            <w:pPr>
              <w:widowControl/>
              <w:jc w:val="center"/>
              <w:rPr>
                <w:rFonts w:hint="eastAsia" w:ascii="仿宋_GB2312" w:hAnsi="仿宋_GB2312" w:eastAsia="仿宋_GB2312" w:cs="仿宋_GB2312"/>
                <w:sz w:val="28"/>
                <w:szCs w:val="28"/>
              </w:rPr>
            </w:pPr>
          </w:p>
        </w:tc>
        <w:tc>
          <w:tcPr>
            <w:tcW w:w="1600" w:type="dxa"/>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联系方式</w:t>
            </w:r>
          </w:p>
        </w:tc>
        <w:tc>
          <w:tcPr>
            <w:tcW w:w="2413" w:type="dxa"/>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213" w:type="dxa"/>
            <w:gridSpan w:val="3"/>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用地位置</w:t>
            </w:r>
          </w:p>
        </w:tc>
        <w:tc>
          <w:tcPr>
            <w:tcW w:w="7213" w:type="dxa"/>
            <w:gridSpan w:val="3"/>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用地性质</w:t>
            </w:r>
          </w:p>
        </w:tc>
        <w:tc>
          <w:tcPr>
            <w:tcW w:w="3200" w:type="dxa"/>
            <w:vAlign w:val="top"/>
          </w:tcPr>
          <w:p>
            <w:pPr>
              <w:widowControl/>
              <w:jc w:val="center"/>
              <w:rPr>
                <w:rFonts w:hint="eastAsia" w:ascii="仿宋_GB2312" w:hAnsi="仿宋_GB2312" w:eastAsia="仿宋_GB2312" w:cs="仿宋_GB2312"/>
                <w:sz w:val="28"/>
                <w:szCs w:val="28"/>
              </w:rPr>
            </w:pPr>
          </w:p>
        </w:tc>
        <w:tc>
          <w:tcPr>
            <w:tcW w:w="1600" w:type="dxa"/>
            <w:vAlign w:val="top"/>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用地规模</w:t>
            </w:r>
          </w:p>
          <w:p>
            <w:pPr>
              <w:widowControl/>
              <w:jc w:val="center"/>
              <w:rPr>
                <w:rFonts w:hint="eastAsia" w:ascii="仿宋_GB2312" w:hAnsi="仿宋_GB2312" w:eastAsia="仿宋_GB2312" w:cs="仿宋_GB2312"/>
                <w:sz w:val="28"/>
                <w:szCs w:val="28"/>
              </w:rPr>
            </w:pPr>
          </w:p>
        </w:tc>
        <w:tc>
          <w:tcPr>
            <w:tcW w:w="2413" w:type="dxa"/>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建设规模</w:t>
            </w:r>
          </w:p>
          <w:p>
            <w:pPr>
              <w:widowControl/>
              <w:jc w:val="center"/>
              <w:rPr>
                <w:rFonts w:hint="eastAsia" w:ascii="仿宋_GB2312" w:hAnsi="仿宋_GB2312" w:eastAsia="仿宋_GB2312" w:cs="仿宋_GB2312"/>
                <w:sz w:val="28"/>
                <w:szCs w:val="28"/>
              </w:rPr>
            </w:pPr>
          </w:p>
        </w:tc>
        <w:tc>
          <w:tcPr>
            <w:tcW w:w="3200" w:type="dxa"/>
            <w:vAlign w:val="top"/>
          </w:tcPr>
          <w:p>
            <w:pPr>
              <w:widowControl/>
              <w:jc w:val="center"/>
              <w:rPr>
                <w:rFonts w:hint="eastAsia" w:ascii="仿宋_GB2312" w:hAnsi="仿宋_GB2312" w:eastAsia="仿宋_GB2312" w:cs="仿宋_GB2312"/>
                <w:sz w:val="28"/>
                <w:szCs w:val="28"/>
              </w:rPr>
            </w:pPr>
          </w:p>
        </w:tc>
        <w:tc>
          <w:tcPr>
            <w:tcW w:w="1600" w:type="dxa"/>
            <w:vAlign w:val="top"/>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投资金额</w:t>
            </w:r>
          </w:p>
        </w:tc>
        <w:tc>
          <w:tcPr>
            <w:tcW w:w="2413" w:type="dxa"/>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Merge w:val="restart"/>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设计单位</w:t>
            </w:r>
          </w:p>
        </w:tc>
        <w:tc>
          <w:tcPr>
            <w:tcW w:w="3200" w:type="dxa"/>
            <w:vMerge w:val="restart"/>
            <w:vAlign w:val="center"/>
          </w:tcPr>
          <w:p>
            <w:pPr>
              <w:widowControl/>
              <w:jc w:val="center"/>
              <w:rPr>
                <w:rFonts w:hint="eastAsia" w:ascii="仿宋_GB2312" w:hAnsi="仿宋_GB2312" w:eastAsia="仿宋_GB2312" w:cs="仿宋_GB2312"/>
                <w:sz w:val="28"/>
                <w:szCs w:val="28"/>
              </w:rPr>
            </w:pPr>
          </w:p>
        </w:tc>
        <w:tc>
          <w:tcPr>
            <w:tcW w:w="1600" w:type="dxa"/>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联系人</w:t>
            </w:r>
          </w:p>
        </w:tc>
        <w:tc>
          <w:tcPr>
            <w:tcW w:w="2413" w:type="dxa"/>
            <w:vAlign w:val="center"/>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Merge w:val="continue"/>
            <w:vAlign w:val="center"/>
          </w:tcPr>
          <w:p>
            <w:pPr>
              <w:widowControl/>
              <w:jc w:val="center"/>
              <w:rPr>
                <w:rFonts w:hint="eastAsia" w:ascii="仿宋_GB2312" w:hAnsi="仿宋_GB2312" w:eastAsia="仿宋_GB2312" w:cs="仿宋_GB2312"/>
                <w:sz w:val="28"/>
                <w:szCs w:val="28"/>
              </w:rPr>
            </w:pPr>
          </w:p>
        </w:tc>
        <w:tc>
          <w:tcPr>
            <w:tcW w:w="3200" w:type="dxa"/>
            <w:vMerge w:val="continue"/>
            <w:vAlign w:val="center"/>
          </w:tcPr>
          <w:p>
            <w:pPr>
              <w:widowControl/>
              <w:jc w:val="center"/>
              <w:rPr>
                <w:rFonts w:hint="eastAsia" w:ascii="仿宋_GB2312" w:hAnsi="仿宋_GB2312" w:eastAsia="仿宋_GB2312" w:cs="仿宋_GB2312"/>
                <w:sz w:val="28"/>
                <w:szCs w:val="28"/>
              </w:rPr>
            </w:pPr>
          </w:p>
        </w:tc>
        <w:tc>
          <w:tcPr>
            <w:tcW w:w="1600"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413" w:type="dxa"/>
            <w:vAlign w:val="center"/>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9210" w:type="dxa"/>
            <w:gridSpan w:val="4"/>
            <w:vAlign w:val="top"/>
          </w:tcPr>
          <w:p>
            <w:pPr>
              <w:widowControl/>
              <w:jc w:val="center"/>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4"/>
              <w:rPr>
                <w:rFonts w:hint="eastAsia"/>
              </w:rPr>
            </w:pPr>
          </w:p>
          <w:p>
            <w:pPr>
              <w:widowControl/>
              <w:wordWrap w:val="0"/>
              <w:jc w:val="right"/>
              <w:rPr>
                <w:rFonts w:hint="default" w:eastAsia="仿宋_GB2312"/>
                <w:lang w:val="en-US" w:eastAsia="zh-CN"/>
              </w:rPr>
            </w:pP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盖</w:t>
            </w:r>
            <w:r>
              <w:rPr>
                <w:rFonts w:hint="eastAsia" w:ascii="仿宋_GB2312" w:hAnsi="仿宋_GB2312" w:eastAsia="仿宋_GB2312" w:cs="仿宋_GB2312"/>
                <w:sz w:val="28"/>
                <w:szCs w:val="28"/>
              </w:rPr>
              <w:t>章） ：</w:t>
            </w:r>
            <w:r>
              <w:rPr>
                <w:rFonts w:hint="eastAsia" w:ascii="仿宋_GB2312" w:hAnsi="仿宋_GB2312" w:eastAsia="仿宋_GB2312" w:cs="仿宋_GB2312"/>
                <w:sz w:val="28"/>
                <w:szCs w:val="28"/>
                <w:lang w:val="en-US" w:eastAsia="zh-CN"/>
              </w:rPr>
              <w:t xml:space="preserve">                     </w:t>
            </w:r>
          </w:p>
          <w:p>
            <w:pPr>
              <w:widowControl/>
              <w:ind w:firstLine="840"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法定代表人（或委托代理人）（签名） ：</w:t>
            </w:r>
          </w:p>
          <w:p>
            <w:pPr>
              <w:pStyle w:val="4"/>
              <w:rPr>
                <w:rFonts w:hint="eastAsia"/>
              </w:rPr>
            </w:pPr>
          </w:p>
          <w:p>
            <w:pPr>
              <w:widowControl/>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龙港市投资项目</w:t>
      </w:r>
      <w:r>
        <w:rPr>
          <w:rFonts w:hint="eastAsia" w:ascii="方正小标宋简体" w:hAnsi="方正小标宋简体" w:eastAsia="方正小标宋简体" w:cs="方正小标宋简体"/>
          <w:sz w:val="44"/>
          <w:szCs w:val="44"/>
        </w:rPr>
        <w:t>拿地即开工承诺书</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拟参与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地块竞拍，投资建设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项目，申请该项目在拿地前提前进行设计方案审查，拿地后即开工。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地块投资建设           项目，申请该项目进行施工许可证“模拟审批”。</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投资建设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项目，申请该项目进行提前进场施工。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现就该投资项目的相关事宜作出如下承诺，并承担相关法律责任。</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一、本投资人提供的所有申请资料真实有效。</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二、本项目已按地块规划条件编制规划设计方案，如拿地成功将按审查通过后的规划设计方案申请备案手续及后续许可手续，并进行下一步的施工图设计。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、在“模拟审批”阶段所产生的一切费用由本投资人承担。</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、相关前置材料齐备后，积极配合审批部门尽快办理“模拟审批”文件转换为正式文件的手续。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、本项目设计方案满足规划要求和相关规范、技术规定的要求。</w:t>
      </w:r>
    </w:p>
    <w:p>
      <w:pPr>
        <w:ind w:firstLine="640"/>
        <w:rPr>
          <w:rFonts w:hint="eastAsia"/>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、本项目施工图已审查合格，并已落实施工单位和监理单位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、完成各项审批手续后立即开工。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承诺单位（盖章）：</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承诺时间：</w:t>
      </w:r>
    </w:p>
    <w:p>
      <w:pPr>
        <w:pStyle w:val="2"/>
        <w:rPr>
          <w:rFonts w:hint="eastAsia" w:ascii="仿宋_GB2312" w:hAnsi="仿宋_GB2312" w:eastAsia="仿宋_GB2312" w:cs="仿宋_GB2312"/>
          <w:sz w:val="32"/>
          <w:szCs w:val="32"/>
        </w:rPr>
      </w:pPr>
    </w:p>
    <w:p>
      <w:pPr>
        <w:rPr>
          <w:rFonts w:hint="eastAsia"/>
        </w:rPr>
      </w:pPr>
    </w:p>
    <w:p>
      <w:pPr>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龙港市投资项目“拿地即开工”</w:t>
      </w:r>
      <w:r>
        <w:rPr>
          <w:rFonts w:hint="eastAsia" w:ascii="方正小标宋简体" w:hAnsi="方正小标宋简体" w:eastAsia="方正小标宋简体" w:cs="方正小标宋简体"/>
          <w:sz w:val="44"/>
          <w:szCs w:val="44"/>
        </w:rPr>
        <w:t>设计</w:t>
      </w:r>
      <w:r>
        <w:rPr>
          <w:rFonts w:hint="eastAsia" w:ascii="方正小标宋简体" w:hAnsi="方正小标宋简体" w:eastAsia="方正小标宋简体" w:cs="方正小标宋简体"/>
          <w:sz w:val="44"/>
          <w:szCs w:val="44"/>
          <w:lang w:eastAsia="zh-CN"/>
        </w:rPr>
        <w:t>文本</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批前指导</w:t>
      </w:r>
      <w:r>
        <w:rPr>
          <w:rFonts w:hint="eastAsia" w:ascii="方正小标宋简体" w:hAnsi="方正小标宋简体" w:eastAsia="方正小标宋简体" w:cs="方正小标宋简体"/>
          <w:sz w:val="44"/>
          <w:szCs w:val="44"/>
        </w:rPr>
        <w:t>意见</w:t>
      </w:r>
      <w:r>
        <w:rPr>
          <w:rFonts w:hint="eastAsia" w:ascii="方正小标宋简体" w:hAnsi="方正小标宋简体" w:eastAsia="方正小标宋简体" w:cs="方正小标宋简体"/>
          <w:sz w:val="44"/>
          <w:szCs w:val="44"/>
          <w:lang w:eastAsia="zh-CN"/>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单位提交的设计</w:t>
      </w:r>
      <w:r>
        <w:rPr>
          <w:rFonts w:hint="eastAsia" w:ascii="仿宋_GB2312" w:hAnsi="仿宋_GB2312" w:eastAsia="仿宋_GB2312" w:cs="仿宋_GB2312"/>
          <w:sz w:val="32"/>
          <w:szCs w:val="32"/>
          <w:lang w:eastAsia="zh-CN"/>
        </w:rPr>
        <w:t>文本</w:t>
      </w:r>
      <w:r>
        <w:rPr>
          <w:rFonts w:hint="eastAsia" w:ascii="仿宋_GB2312" w:hAnsi="仿宋_GB2312" w:eastAsia="仿宋_GB2312" w:cs="仿宋_GB2312"/>
          <w:sz w:val="32"/>
          <w:szCs w:val="32"/>
        </w:rPr>
        <w:t>经各部门审查，符合该地块建设要求</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申请人拿地后需按</w:t>
      </w:r>
      <w:r>
        <w:rPr>
          <w:rFonts w:hint="eastAsia" w:ascii="仿宋_GB2312" w:hAnsi="仿宋_GB2312" w:eastAsia="仿宋_GB2312" w:cs="仿宋_GB2312"/>
          <w:color w:val="auto"/>
          <w:sz w:val="32"/>
          <w:szCs w:val="32"/>
          <w:lang w:eastAsia="zh-CN"/>
        </w:rPr>
        <w:t>批前指导通过</w:t>
      </w:r>
      <w:r>
        <w:rPr>
          <w:rFonts w:hint="eastAsia" w:ascii="仿宋_GB2312" w:hAnsi="仿宋_GB2312" w:eastAsia="仿宋_GB2312" w:cs="仿宋_GB2312"/>
          <w:color w:val="auto"/>
          <w:sz w:val="32"/>
          <w:szCs w:val="32"/>
        </w:rPr>
        <w:t>的设计</w:t>
      </w:r>
      <w:r>
        <w:rPr>
          <w:rFonts w:hint="eastAsia" w:ascii="仿宋_GB2312" w:hAnsi="仿宋_GB2312" w:eastAsia="仿宋_GB2312" w:cs="仿宋_GB2312"/>
          <w:color w:val="auto"/>
          <w:sz w:val="32"/>
          <w:szCs w:val="32"/>
          <w:lang w:eastAsia="zh-CN"/>
        </w:rPr>
        <w:t>文本</w:t>
      </w:r>
      <w:r>
        <w:rPr>
          <w:rFonts w:hint="eastAsia" w:ascii="仿宋_GB2312" w:hAnsi="仿宋_GB2312" w:eastAsia="仿宋_GB2312" w:cs="仿宋_GB2312"/>
          <w:color w:val="auto"/>
          <w:sz w:val="32"/>
          <w:szCs w:val="32"/>
        </w:rPr>
        <w:t>进行下一步的施工图设计</w:t>
      </w:r>
      <w:r>
        <w:rPr>
          <w:rFonts w:hint="eastAsia" w:ascii="仿宋_GB2312" w:hAnsi="仿宋_GB2312" w:eastAsia="仿宋_GB2312" w:cs="仿宋_GB2312"/>
          <w:color w:val="auto"/>
          <w:sz w:val="32"/>
          <w:szCs w:val="32"/>
          <w:lang w:eastAsia="zh-CN"/>
        </w:rPr>
        <w:t>及办理相关手续</w:t>
      </w:r>
      <w:r>
        <w:rPr>
          <w:rFonts w:hint="eastAsia" w:ascii="仿宋_GB2312" w:hAnsi="仿宋_GB2312" w:eastAsia="仿宋_GB2312" w:cs="仿宋_GB2312"/>
          <w:color w:val="auto"/>
          <w:sz w:val="32"/>
          <w:szCs w:val="32"/>
        </w:rPr>
        <w:t>。</w:t>
      </w:r>
    </w:p>
    <w:p>
      <w:pPr>
        <w:ind w:firstLine="640"/>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涉批部门修改</w:t>
      </w:r>
      <w:r>
        <w:rPr>
          <w:rFonts w:hint="eastAsia" w:ascii="仿宋" w:hAnsi="仿宋" w:eastAsia="仿宋" w:cs="仿宋"/>
          <w:sz w:val="32"/>
          <w:szCs w:val="32"/>
          <w:highlight w:val="none"/>
          <w:lang w:val="en-US" w:eastAsia="zh-CN"/>
        </w:rPr>
        <w:t>意见</w:t>
      </w:r>
    </w:p>
    <w:p>
      <w:pPr>
        <w:pStyle w:val="2"/>
        <w:rPr>
          <w:rFonts w:hint="eastAsia" w:eastAsia="仿宋"/>
          <w:lang w:val="en-US" w:eastAsia="zh-CN"/>
        </w:rPr>
      </w:pPr>
      <w:r>
        <w:rPr>
          <w:rFonts w:hint="eastAsia" w:ascii="仿宋" w:hAnsi="仿宋" w:eastAsia="仿宋" w:cs="仿宋"/>
          <w:sz w:val="32"/>
          <w:szCs w:val="32"/>
          <w:highlight w:val="none"/>
          <w:lang w:val="en-US" w:eastAsia="zh-CN"/>
        </w:rPr>
        <w:t xml:space="preserve">        2.设计文本</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ind w:firstLine="3840" w:firstLineChars="1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p>
    <w:p>
      <w:pPr>
        <w:pStyle w:val="2"/>
        <w:rPr>
          <w:rFonts w:hint="eastAsia"/>
          <w:lang w:val="en-US" w:eastAsia="zh-CN"/>
        </w:rPr>
        <w:sectPr>
          <w:footerReference r:id="rId3" w:type="default"/>
          <w:pgSz w:w="11905" w:h="16838"/>
          <w:pgMar w:top="2268" w:right="1417" w:bottom="1701" w:left="1417" w:header="851" w:footer="992" w:gutter="0"/>
          <w:cols w:space="720" w:num="1"/>
          <w:docGrid w:type="lines" w:linePitch="314" w:charSpace="0"/>
        </w:sectPr>
      </w:pPr>
    </w:p>
    <w:p>
      <w:pPr>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ascii="仿宋_GB2312" w:hAnsi="仿宋_GB2312" w:eastAsia="仿宋_GB2312" w:cs="仿宋_GB2312"/>
          <w:sz w:val="32"/>
          <w:szCs w:val="32"/>
        </w:rPr>
      </w:pPr>
      <w:r>
        <w:rPr>
          <w:rFonts w:hint="eastAsia" w:ascii="黑体" w:hAnsi="黑体" w:eastAsia="黑体" w:cs="黑体"/>
          <w:sz w:val="36"/>
          <w:szCs w:val="36"/>
          <w:lang w:eastAsia="zh-CN"/>
        </w:rPr>
        <w:t>龙港市投资项目</w:t>
      </w:r>
      <w:r>
        <w:rPr>
          <w:rFonts w:hint="eastAsia" w:ascii="黑体" w:hAnsi="黑体" w:eastAsia="黑体" w:cs="黑体"/>
          <w:sz w:val="36"/>
          <w:szCs w:val="36"/>
        </w:rPr>
        <w:t>竣工预验收必备材料清单</w:t>
      </w:r>
    </w:p>
    <w:p>
      <w:pPr>
        <w:rPr>
          <w:sz w:val="28"/>
          <w:szCs w:val="28"/>
        </w:rPr>
      </w:pPr>
      <w:r>
        <w:rPr>
          <w:rFonts w:hint="eastAsia"/>
          <w:sz w:val="28"/>
          <w:szCs w:val="28"/>
        </w:rPr>
        <w:t>项目名称：</w:t>
      </w:r>
    </w:p>
    <w:tbl>
      <w:tblPr>
        <w:tblStyle w:val="6"/>
        <w:tblW w:w="9515" w:type="dxa"/>
        <w:tblInd w:w="-125" w:type="dxa"/>
        <w:tblLayout w:type="fixed"/>
        <w:tblCellMar>
          <w:top w:w="0" w:type="dxa"/>
          <w:left w:w="108" w:type="dxa"/>
          <w:bottom w:w="0" w:type="dxa"/>
          <w:right w:w="108" w:type="dxa"/>
        </w:tblCellMar>
      </w:tblPr>
      <w:tblGrid>
        <w:gridCol w:w="996"/>
        <w:gridCol w:w="4368"/>
        <w:gridCol w:w="4151"/>
      </w:tblGrid>
      <w:tr>
        <w:tblPrEx>
          <w:tblCellMar>
            <w:top w:w="0" w:type="dxa"/>
            <w:left w:w="108" w:type="dxa"/>
            <w:bottom w:w="0" w:type="dxa"/>
            <w:right w:w="108" w:type="dxa"/>
          </w:tblCellMar>
        </w:tblPrEx>
        <w:trPr>
          <w:trHeight w:val="551" w:hRule="atLeast"/>
        </w:trPr>
        <w:tc>
          <w:tcPr>
            <w:tcW w:w="9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序号</w:t>
            </w:r>
          </w:p>
        </w:tc>
        <w:tc>
          <w:tcPr>
            <w:tcW w:w="4368" w:type="dxa"/>
            <w:tcBorders>
              <w:top w:val="single" w:color="auto" w:sz="4" w:space="0"/>
              <w:left w:val="nil"/>
              <w:bottom w:val="single" w:color="auto" w:sz="4" w:space="0"/>
              <w:right w:val="single" w:color="auto" w:sz="4" w:space="0"/>
              <w:tl2br w:val="nil"/>
              <w:tr2bl w:val="nil"/>
            </w:tcBorders>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土建</w:t>
            </w:r>
          </w:p>
        </w:tc>
        <w:tc>
          <w:tcPr>
            <w:tcW w:w="4151" w:type="dxa"/>
            <w:tcBorders>
              <w:top w:val="single" w:color="auto" w:sz="4" w:space="0"/>
              <w:left w:val="nil"/>
              <w:bottom w:val="single" w:color="auto" w:sz="4" w:space="0"/>
              <w:right w:val="single" w:color="auto" w:sz="8" w:space="0"/>
              <w:tl2br w:val="nil"/>
              <w:tr2bl w:val="nil"/>
            </w:tcBorders>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安装</w:t>
            </w:r>
          </w:p>
        </w:tc>
      </w:tr>
      <w:tr>
        <w:tblPrEx>
          <w:tblCellMar>
            <w:top w:w="0" w:type="dxa"/>
            <w:left w:w="108" w:type="dxa"/>
            <w:bottom w:w="0" w:type="dxa"/>
            <w:right w:w="108" w:type="dxa"/>
          </w:tblCellMar>
        </w:tblPrEx>
        <w:trPr>
          <w:trHeight w:val="449"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4368" w:type="dxa"/>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试打桩记录</w:t>
            </w:r>
            <w:r>
              <w:rPr>
                <w:rFonts w:hint="eastAsia" w:ascii="宋体" w:hAnsi="宋体" w:cs="宋体"/>
                <w:kern w:val="0"/>
                <w:sz w:val="24"/>
                <w:u w:val="single"/>
              </w:rPr>
              <w:t xml:space="preserve">   </w:t>
            </w:r>
            <w:r>
              <w:rPr>
                <w:rFonts w:hint="eastAsia" w:ascii="宋体" w:hAnsi="宋体" w:cs="宋体"/>
                <w:kern w:val="0"/>
                <w:sz w:val="24"/>
              </w:rPr>
              <w:t>份、地基验槽记录</w:t>
            </w:r>
            <w:r>
              <w:rPr>
                <w:rFonts w:hint="eastAsia" w:ascii="宋体" w:hAnsi="宋体" w:cs="宋体"/>
                <w:kern w:val="0"/>
                <w:sz w:val="24"/>
                <w:u w:val="single"/>
              </w:rPr>
              <w:t xml:space="preserve">   </w:t>
            </w:r>
            <w:r>
              <w:rPr>
                <w:rFonts w:hint="eastAsia" w:ascii="宋体" w:hAnsi="宋体" w:cs="宋体"/>
                <w:kern w:val="0"/>
                <w:sz w:val="24"/>
              </w:rPr>
              <w:t>份</w:t>
            </w:r>
          </w:p>
        </w:tc>
        <w:tc>
          <w:tcPr>
            <w:tcW w:w="4151" w:type="dxa"/>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　</w:t>
            </w:r>
            <w:r>
              <w:rPr>
                <w:rFonts w:hint="eastAsia"/>
                <w:sz w:val="24"/>
              </w:rPr>
              <w:t>复核材料汇总</w:t>
            </w:r>
            <w:r>
              <w:rPr>
                <w:rFonts w:hint="eastAsia"/>
                <w:sz w:val="24"/>
                <w:u w:val="single"/>
              </w:rPr>
              <w:t xml:space="preserve">     </w:t>
            </w:r>
            <w:r>
              <w:rPr>
                <w:rFonts w:hint="eastAsia"/>
                <w:sz w:val="24"/>
              </w:rPr>
              <w:t>份</w:t>
            </w:r>
          </w:p>
        </w:tc>
      </w:tr>
      <w:tr>
        <w:tblPrEx>
          <w:tblCellMar>
            <w:top w:w="0" w:type="dxa"/>
            <w:left w:w="108" w:type="dxa"/>
            <w:bottom w:w="0" w:type="dxa"/>
            <w:right w:w="108" w:type="dxa"/>
          </w:tblCellMar>
        </w:tblPrEx>
        <w:trPr>
          <w:trHeight w:val="934"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4368" w:type="dxa"/>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分部工程验收记录：                               地基基础</w:t>
            </w:r>
            <w:r>
              <w:rPr>
                <w:rFonts w:hint="eastAsia" w:ascii="宋体" w:hAnsi="宋体" w:cs="宋体"/>
                <w:kern w:val="0"/>
                <w:sz w:val="24"/>
                <w:u w:val="single"/>
              </w:rPr>
              <w:t xml:space="preserve">    </w:t>
            </w:r>
            <w:r>
              <w:rPr>
                <w:rFonts w:hint="eastAsia" w:ascii="宋体" w:hAnsi="宋体" w:cs="宋体"/>
                <w:kern w:val="0"/>
                <w:sz w:val="24"/>
              </w:rPr>
              <w:t>份、主体结构</w:t>
            </w:r>
            <w:r>
              <w:rPr>
                <w:rFonts w:hint="eastAsia" w:ascii="宋体" w:hAnsi="宋体" w:cs="宋体"/>
                <w:kern w:val="0"/>
                <w:sz w:val="24"/>
                <w:u w:val="single"/>
              </w:rPr>
              <w:t xml:space="preserve">    </w:t>
            </w:r>
            <w:r>
              <w:rPr>
                <w:rFonts w:hint="eastAsia" w:ascii="宋体" w:hAnsi="宋体" w:cs="宋体"/>
                <w:kern w:val="0"/>
                <w:sz w:val="24"/>
              </w:rPr>
              <w:t>份、</w:t>
            </w:r>
          </w:p>
          <w:p>
            <w:pPr>
              <w:widowControl/>
              <w:spacing w:line="360" w:lineRule="exact"/>
              <w:jc w:val="left"/>
              <w:rPr>
                <w:rFonts w:ascii="宋体" w:hAnsi="宋体" w:cs="宋体"/>
                <w:kern w:val="0"/>
                <w:sz w:val="24"/>
              </w:rPr>
            </w:pPr>
            <w:r>
              <w:rPr>
                <w:rFonts w:hint="eastAsia" w:ascii="宋体" w:hAnsi="宋体" w:cs="宋体"/>
                <w:kern w:val="0"/>
                <w:sz w:val="24"/>
              </w:rPr>
              <w:t>装饰装修</w:t>
            </w:r>
            <w:r>
              <w:rPr>
                <w:rFonts w:hint="eastAsia" w:ascii="宋体" w:hAnsi="宋体" w:cs="宋体"/>
                <w:kern w:val="0"/>
                <w:sz w:val="24"/>
                <w:u w:val="single"/>
              </w:rPr>
              <w:t xml:space="preserve">    </w:t>
            </w:r>
            <w:r>
              <w:rPr>
                <w:rFonts w:hint="eastAsia" w:ascii="宋体" w:hAnsi="宋体" w:cs="宋体"/>
                <w:kern w:val="0"/>
                <w:sz w:val="24"/>
              </w:rPr>
              <w:t>份、 屋面</w:t>
            </w:r>
            <w:r>
              <w:rPr>
                <w:rFonts w:hint="eastAsia" w:ascii="宋体" w:hAnsi="宋体" w:cs="宋体"/>
                <w:kern w:val="0"/>
                <w:sz w:val="24"/>
                <w:u w:val="single"/>
              </w:rPr>
              <w:t xml:space="preserve">    </w:t>
            </w:r>
            <w:r>
              <w:rPr>
                <w:rFonts w:hint="eastAsia" w:ascii="宋体" w:hAnsi="宋体" w:cs="宋体"/>
                <w:kern w:val="0"/>
                <w:sz w:val="24"/>
              </w:rPr>
              <w:t>份、节能</w:t>
            </w:r>
            <w:r>
              <w:rPr>
                <w:rFonts w:hint="eastAsia" w:ascii="宋体" w:hAnsi="宋体" w:cs="宋体"/>
                <w:kern w:val="0"/>
                <w:sz w:val="24"/>
                <w:u w:val="single"/>
              </w:rPr>
              <w:t xml:space="preserve">    </w:t>
            </w:r>
            <w:r>
              <w:rPr>
                <w:rFonts w:hint="eastAsia" w:ascii="宋体" w:hAnsi="宋体" w:cs="宋体"/>
                <w:kern w:val="0"/>
                <w:sz w:val="24"/>
              </w:rPr>
              <w:t>份</w:t>
            </w:r>
          </w:p>
        </w:tc>
        <w:tc>
          <w:tcPr>
            <w:tcW w:w="4151" w:type="dxa"/>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给排水采暖</w:t>
            </w:r>
            <w:r>
              <w:rPr>
                <w:rFonts w:hint="eastAsia" w:ascii="宋体" w:hAnsi="宋体" w:cs="宋体"/>
                <w:kern w:val="0"/>
                <w:sz w:val="24"/>
                <w:u w:val="single"/>
              </w:rPr>
              <w:t xml:space="preserve">    </w:t>
            </w:r>
            <w:r>
              <w:rPr>
                <w:rFonts w:hint="eastAsia" w:ascii="宋体" w:hAnsi="宋体" w:cs="宋体"/>
                <w:kern w:val="0"/>
                <w:sz w:val="24"/>
              </w:rPr>
              <w:t>份、电气</w:t>
            </w:r>
            <w:r>
              <w:rPr>
                <w:rFonts w:hint="eastAsia" w:ascii="宋体" w:hAnsi="宋体" w:cs="宋体"/>
                <w:kern w:val="0"/>
                <w:sz w:val="24"/>
                <w:u w:val="single"/>
              </w:rPr>
              <w:t xml:space="preserve">    </w:t>
            </w:r>
            <w:r>
              <w:rPr>
                <w:rFonts w:hint="eastAsia" w:ascii="宋体" w:hAnsi="宋体" w:cs="宋体"/>
                <w:kern w:val="0"/>
                <w:sz w:val="24"/>
              </w:rPr>
              <w:t>份、        通风空调</w:t>
            </w:r>
            <w:r>
              <w:rPr>
                <w:rFonts w:hint="eastAsia" w:ascii="宋体" w:hAnsi="宋体" w:cs="宋体"/>
                <w:kern w:val="0"/>
                <w:sz w:val="24"/>
                <w:u w:val="single"/>
              </w:rPr>
              <w:t xml:space="preserve">    </w:t>
            </w:r>
            <w:r>
              <w:rPr>
                <w:rFonts w:hint="eastAsia" w:ascii="宋体" w:hAnsi="宋体" w:cs="宋体"/>
                <w:kern w:val="0"/>
                <w:sz w:val="24"/>
              </w:rPr>
              <w:t>份、电梯</w:t>
            </w:r>
            <w:r>
              <w:rPr>
                <w:rFonts w:hint="eastAsia" w:ascii="宋体" w:hAnsi="宋体" w:cs="宋体"/>
                <w:kern w:val="0"/>
                <w:sz w:val="24"/>
                <w:u w:val="single"/>
              </w:rPr>
              <w:t xml:space="preserve">    </w:t>
            </w:r>
            <w:r>
              <w:rPr>
                <w:rFonts w:hint="eastAsia" w:ascii="宋体" w:hAnsi="宋体" w:cs="宋体"/>
                <w:kern w:val="0"/>
                <w:sz w:val="24"/>
              </w:rPr>
              <w:t>份、          智能建筑</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1164"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3</w:t>
            </w:r>
          </w:p>
        </w:tc>
        <w:tc>
          <w:tcPr>
            <w:tcW w:w="4368" w:type="dxa"/>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重要子分部工程验收记录：                         桩基</w:t>
            </w:r>
            <w:r>
              <w:rPr>
                <w:rFonts w:hint="eastAsia" w:ascii="宋体" w:hAnsi="宋体" w:cs="宋体"/>
                <w:kern w:val="0"/>
                <w:sz w:val="24"/>
                <w:u w:val="single"/>
              </w:rPr>
              <w:t xml:space="preserve">    </w:t>
            </w:r>
            <w:r>
              <w:rPr>
                <w:rFonts w:hint="eastAsia" w:ascii="宋体" w:hAnsi="宋体" w:cs="宋体"/>
                <w:kern w:val="0"/>
                <w:sz w:val="24"/>
              </w:rPr>
              <w:t>份、幕墙</w:t>
            </w:r>
            <w:r>
              <w:rPr>
                <w:rFonts w:hint="eastAsia" w:ascii="宋体" w:hAnsi="宋体" w:cs="宋体"/>
                <w:kern w:val="0"/>
                <w:sz w:val="24"/>
                <w:u w:val="single"/>
              </w:rPr>
              <w:t xml:space="preserve">    </w:t>
            </w:r>
            <w:r>
              <w:rPr>
                <w:rFonts w:hint="eastAsia" w:ascii="宋体" w:hAnsi="宋体" w:cs="宋体"/>
                <w:kern w:val="0"/>
                <w:sz w:val="24"/>
              </w:rPr>
              <w:t>份、钢结构</w:t>
            </w:r>
            <w:r>
              <w:rPr>
                <w:rFonts w:hint="eastAsia" w:ascii="宋体" w:hAnsi="宋体" w:cs="宋体"/>
                <w:kern w:val="0"/>
                <w:sz w:val="24"/>
                <w:u w:val="single"/>
              </w:rPr>
              <w:t xml:space="preserve">    </w:t>
            </w:r>
            <w:r>
              <w:rPr>
                <w:rFonts w:hint="eastAsia" w:ascii="宋体" w:hAnsi="宋体" w:cs="宋体"/>
                <w:kern w:val="0"/>
                <w:sz w:val="24"/>
              </w:rPr>
              <w:t xml:space="preserve">份          </w:t>
            </w:r>
          </w:p>
        </w:tc>
        <w:tc>
          <w:tcPr>
            <w:tcW w:w="4151" w:type="dxa"/>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火灾报警及消防联动系统</w:t>
            </w:r>
            <w:r>
              <w:rPr>
                <w:rFonts w:hint="eastAsia" w:ascii="宋体" w:hAnsi="宋体" w:cs="宋体"/>
                <w:kern w:val="0"/>
                <w:sz w:val="24"/>
                <w:u w:val="single"/>
              </w:rPr>
              <w:t xml:space="preserve">    </w:t>
            </w:r>
            <w:r>
              <w:rPr>
                <w:rFonts w:hint="eastAsia" w:ascii="宋体" w:hAnsi="宋体" w:cs="宋体"/>
                <w:kern w:val="0"/>
                <w:sz w:val="24"/>
              </w:rPr>
              <w:t>份、     自动喷水灭火系统</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1752"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4368" w:type="dxa"/>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重要检测报告：                                   桩基</w:t>
            </w:r>
            <w:r>
              <w:rPr>
                <w:rFonts w:hint="eastAsia" w:ascii="宋体" w:hAnsi="宋体" w:cs="宋体"/>
                <w:kern w:val="0"/>
                <w:sz w:val="24"/>
                <w:u w:val="single"/>
              </w:rPr>
              <w:t xml:space="preserve">    </w:t>
            </w:r>
            <w:r>
              <w:rPr>
                <w:rFonts w:hint="eastAsia" w:ascii="宋体" w:hAnsi="宋体" w:cs="宋体"/>
                <w:kern w:val="0"/>
                <w:sz w:val="24"/>
              </w:rPr>
              <w:t>份、结构实体检测汇总表</w:t>
            </w:r>
            <w:r>
              <w:rPr>
                <w:rFonts w:hint="eastAsia" w:ascii="宋体" w:hAnsi="宋体" w:cs="宋体"/>
                <w:kern w:val="0"/>
                <w:sz w:val="24"/>
                <w:u w:val="single"/>
              </w:rPr>
              <w:t xml:space="preserve">    </w:t>
            </w:r>
            <w:r>
              <w:rPr>
                <w:rFonts w:hint="eastAsia" w:ascii="宋体" w:hAnsi="宋体" w:cs="宋体"/>
                <w:kern w:val="0"/>
                <w:sz w:val="24"/>
              </w:rPr>
              <w:t>份、幕墙</w:t>
            </w:r>
            <w:r>
              <w:rPr>
                <w:rFonts w:hint="eastAsia" w:ascii="宋体" w:hAnsi="宋体" w:cs="宋体"/>
                <w:kern w:val="0"/>
                <w:sz w:val="24"/>
                <w:u w:val="single"/>
              </w:rPr>
              <w:t xml:space="preserve">    </w:t>
            </w:r>
            <w:r>
              <w:rPr>
                <w:rFonts w:hint="eastAsia" w:ascii="宋体" w:hAnsi="宋体" w:cs="宋体"/>
                <w:kern w:val="0"/>
                <w:sz w:val="24"/>
              </w:rPr>
              <w:t>份、钢结构</w:t>
            </w:r>
            <w:r>
              <w:rPr>
                <w:rFonts w:hint="eastAsia" w:ascii="宋体" w:hAnsi="宋体" w:cs="宋体"/>
                <w:kern w:val="0"/>
                <w:sz w:val="24"/>
                <w:u w:val="single"/>
              </w:rPr>
              <w:t xml:space="preserve">    </w:t>
            </w:r>
            <w:r>
              <w:rPr>
                <w:rFonts w:hint="eastAsia" w:ascii="宋体" w:hAnsi="宋体" w:cs="宋体"/>
                <w:kern w:val="0"/>
                <w:sz w:val="24"/>
              </w:rPr>
              <w:t>份、节能</w:t>
            </w:r>
            <w:r>
              <w:rPr>
                <w:rFonts w:hint="eastAsia" w:ascii="宋体" w:hAnsi="宋体" w:cs="宋体"/>
                <w:kern w:val="0"/>
                <w:sz w:val="24"/>
                <w:u w:val="single"/>
              </w:rPr>
              <w:t xml:space="preserve">    </w:t>
            </w:r>
            <w:r>
              <w:rPr>
                <w:rFonts w:hint="eastAsia" w:ascii="宋体" w:hAnsi="宋体" w:cs="宋体"/>
                <w:kern w:val="0"/>
                <w:sz w:val="24"/>
              </w:rPr>
              <w:t>份、室内环境</w:t>
            </w:r>
            <w:r>
              <w:rPr>
                <w:rFonts w:hint="eastAsia" w:ascii="宋体" w:hAnsi="宋体" w:cs="宋体"/>
                <w:kern w:val="0"/>
                <w:sz w:val="24"/>
                <w:u w:val="single"/>
              </w:rPr>
              <w:t xml:space="preserve">    </w:t>
            </w:r>
            <w:r>
              <w:rPr>
                <w:rFonts w:hint="eastAsia" w:ascii="宋体" w:hAnsi="宋体" w:cs="宋体"/>
                <w:kern w:val="0"/>
                <w:sz w:val="24"/>
              </w:rPr>
              <w:t>份</w:t>
            </w:r>
          </w:p>
        </w:tc>
        <w:tc>
          <w:tcPr>
            <w:tcW w:w="4151" w:type="dxa"/>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 xml:space="preserve">消防 </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792"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8519" w:type="dxa"/>
            <w:gridSpan w:val="2"/>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设计变更及施工图审查</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674"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6</w:t>
            </w:r>
          </w:p>
        </w:tc>
        <w:tc>
          <w:tcPr>
            <w:tcW w:w="8519" w:type="dxa"/>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分包单位汇总表</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755"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8519" w:type="dxa"/>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建设单位已按合同约定支付工程款证明</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984"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8</w:t>
            </w:r>
          </w:p>
        </w:tc>
        <w:tc>
          <w:tcPr>
            <w:tcW w:w="8519" w:type="dxa"/>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各方主体签署的质量合格文件：                                                          勘察</w:t>
            </w:r>
            <w:r>
              <w:rPr>
                <w:rFonts w:hint="eastAsia" w:ascii="宋体" w:hAnsi="宋体" w:cs="宋体"/>
                <w:kern w:val="0"/>
                <w:sz w:val="24"/>
                <w:u w:val="single"/>
              </w:rPr>
              <w:t xml:space="preserve">    </w:t>
            </w:r>
            <w:r>
              <w:rPr>
                <w:rFonts w:hint="eastAsia" w:ascii="宋体" w:hAnsi="宋体" w:cs="宋体"/>
                <w:kern w:val="0"/>
                <w:sz w:val="24"/>
              </w:rPr>
              <w:t>份、设计</w:t>
            </w:r>
            <w:r>
              <w:rPr>
                <w:rFonts w:hint="eastAsia" w:ascii="宋体" w:hAnsi="宋体" w:cs="宋体"/>
                <w:kern w:val="0"/>
                <w:sz w:val="24"/>
                <w:u w:val="single"/>
              </w:rPr>
              <w:t xml:space="preserve">    </w:t>
            </w:r>
            <w:r>
              <w:rPr>
                <w:rFonts w:hint="eastAsia" w:ascii="宋体" w:hAnsi="宋体" w:cs="宋体"/>
                <w:kern w:val="0"/>
                <w:sz w:val="24"/>
              </w:rPr>
              <w:t>份、施工</w:t>
            </w:r>
            <w:r>
              <w:rPr>
                <w:rFonts w:hint="eastAsia" w:ascii="宋体" w:hAnsi="宋体" w:cs="宋体"/>
                <w:kern w:val="0"/>
                <w:sz w:val="24"/>
                <w:u w:val="single"/>
              </w:rPr>
              <w:t xml:space="preserve">    </w:t>
            </w:r>
            <w:r>
              <w:rPr>
                <w:rFonts w:hint="eastAsia" w:ascii="宋体" w:hAnsi="宋体" w:cs="宋体"/>
                <w:kern w:val="0"/>
                <w:sz w:val="24"/>
              </w:rPr>
              <w:t>份、监理</w:t>
            </w:r>
            <w:r>
              <w:rPr>
                <w:rFonts w:hint="eastAsia" w:ascii="宋体" w:hAnsi="宋体" w:cs="宋体"/>
                <w:kern w:val="0"/>
                <w:sz w:val="24"/>
                <w:u w:val="single"/>
              </w:rPr>
              <w:t xml:space="preserve">    </w:t>
            </w:r>
            <w:r>
              <w:rPr>
                <w:rFonts w:hint="eastAsia" w:ascii="宋体" w:hAnsi="宋体" w:cs="宋体"/>
                <w:kern w:val="0"/>
                <w:sz w:val="24"/>
              </w:rPr>
              <w:t>份、 建设</w:t>
            </w:r>
            <w:r>
              <w:rPr>
                <w:rFonts w:hint="eastAsia" w:ascii="宋体" w:hAnsi="宋体" w:cs="宋体"/>
                <w:kern w:val="0"/>
                <w:sz w:val="24"/>
                <w:u w:val="single"/>
              </w:rPr>
              <w:t xml:space="preserve">    </w:t>
            </w:r>
            <w:r>
              <w:rPr>
                <w:rFonts w:hint="eastAsia" w:ascii="宋体" w:hAnsi="宋体" w:cs="宋体"/>
                <w:kern w:val="0"/>
                <w:sz w:val="24"/>
              </w:rPr>
              <w:t xml:space="preserve">份 </w:t>
            </w:r>
          </w:p>
        </w:tc>
      </w:tr>
      <w:tr>
        <w:tblPrEx>
          <w:tblCellMar>
            <w:top w:w="0" w:type="dxa"/>
            <w:left w:w="108" w:type="dxa"/>
            <w:bottom w:w="0" w:type="dxa"/>
            <w:right w:w="108" w:type="dxa"/>
          </w:tblCellMar>
        </w:tblPrEx>
        <w:trPr>
          <w:trHeight w:val="1330" w:hRule="atLeast"/>
        </w:trPr>
        <w:tc>
          <w:tcPr>
            <w:tcW w:w="996"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kern w:val="0"/>
                <w:sz w:val="24"/>
              </w:rPr>
            </w:pPr>
            <w:r>
              <w:rPr>
                <w:rFonts w:hint="eastAsia" w:ascii="宋体" w:hAnsi="宋体" w:cs="宋体"/>
                <w:kern w:val="0"/>
                <w:sz w:val="24"/>
              </w:rPr>
              <w:t>9</w:t>
            </w:r>
          </w:p>
        </w:tc>
        <w:tc>
          <w:tcPr>
            <w:tcW w:w="8519" w:type="dxa"/>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单位工程（子单位）：                                                                  质量验收记录</w:t>
            </w:r>
            <w:r>
              <w:rPr>
                <w:rFonts w:hint="eastAsia" w:ascii="宋体" w:hAnsi="宋体" w:cs="宋体"/>
                <w:kern w:val="0"/>
                <w:sz w:val="24"/>
                <w:u w:val="single"/>
              </w:rPr>
              <w:t xml:space="preserve">    </w:t>
            </w:r>
            <w:r>
              <w:rPr>
                <w:rFonts w:hint="eastAsia" w:ascii="宋体" w:hAnsi="宋体" w:cs="宋体"/>
                <w:kern w:val="0"/>
                <w:sz w:val="24"/>
              </w:rPr>
              <w:t>份、质量控制资料核查记录</w:t>
            </w:r>
            <w:r>
              <w:rPr>
                <w:rFonts w:hint="eastAsia" w:ascii="宋体" w:hAnsi="宋体" w:cs="宋体"/>
                <w:kern w:val="0"/>
                <w:sz w:val="24"/>
                <w:u w:val="single"/>
              </w:rPr>
              <w:t xml:space="preserve">    </w:t>
            </w:r>
            <w:r>
              <w:rPr>
                <w:rFonts w:hint="eastAsia" w:ascii="宋体" w:hAnsi="宋体" w:cs="宋体"/>
                <w:kern w:val="0"/>
                <w:sz w:val="24"/>
              </w:rPr>
              <w:t>份、                                             安全与功能检验资料核查及主要功能抽查记录</w:t>
            </w:r>
            <w:r>
              <w:rPr>
                <w:rFonts w:hint="eastAsia" w:ascii="宋体" w:hAnsi="宋体" w:cs="宋体"/>
                <w:kern w:val="0"/>
                <w:sz w:val="24"/>
                <w:u w:val="single"/>
              </w:rPr>
              <w:t xml:space="preserve">    </w:t>
            </w:r>
            <w:r>
              <w:rPr>
                <w:rFonts w:hint="eastAsia" w:ascii="宋体" w:hAnsi="宋体" w:cs="宋体"/>
                <w:kern w:val="0"/>
                <w:sz w:val="24"/>
              </w:rPr>
              <w:t>份、观感质量检查记录</w:t>
            </w:r>
            <w:r>
              <w:rPr>
                <w:rFonts w:hint="eastAsia" w:ascii="宋体" w:hAnsi="宋体" w:cs="宋体"/>
                <w:kern w:val="0"/>
                <w:sz w:val="24"/>
                <w:u w:val="single"/>
              </w:rPr>
              <w:t xml:space="preserve">    </w:t>
            </w:r>
            <w:r>
              <w:rPr>
                <w:rFonts w:hint="eastAsia" w:ascii="宋体" w:hAnsi="宋体" w:cs="宋体"/>
                <w:kern w:val="0"/>
                <w:sz w:val="24"/>
              </w:rPr>
              <w:t>份</w:t>
            </w:r>
          </w:p>
        </w:tc>
      </w:tr>
    </w:tbl>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备注：材料份数根据申请预验收的单体数量确定。</w:t>
      </w:r>
    </w:p>
    <w:p>
      <w:pPr>
        <w:pStyle w:val="2"/>
        <w:spacing w:line="440" w:lineRule="exact"/>
        <w:ind w:firstLine="280"/>
        <w:rPr>
          <w:rFonts w:eastAsia="仿宋_GB2312"/>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sz w:val="32"/>
          <w:szCs w:val="32"/>
        </w:rPr>
      </w:pPr>
    </w:p>
    <w:p>
      <w:pPr>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jc w:val="center"/>
        <w:rPr>
          <w:rFonts w:ascii="仿宋_GB2312" w:hAnsi="仿宋_GB2312" w:eastAsia="仿宋_GB2312" w:cs="仿宋_GB2312"/>
          <w:sz w:val="32"/>
          <w:szCs w:val="32"/>
        </w:rPr>
      </w:pPr>
      <w:r>
        <w:rPr>
          <w:rFonts w:hint="eastAsia" w:ascii="黑体" w:hAnsi="黑体" w:eastAsia="黑体" w:cs="黑体"/>
          <w:sz w:val="36"/>
          <w:szCs w:val="36"/>
          <w:lang w:eastAsia="zh-CN"/>
        </w:rPr>
        <w:t>龙港市投资项目</w:t>
      </w:r>
      <w:r>
        <w:rPr>
          <w:rFonts w:hint="eastAsia" w:ascii="黑体" w:hAnsi="黑体" w:eastAsia="黑体" w:cs="黑体"/>
          <w:sz w:val="36"/>
          <w:szCs w:val="36"/>
        </w:rPr>
        <w:t>竣工预验收容缺材料清单</w:t>
      </w:r>
    </w:p>
    <w:p>
      <w:pPr>
        <w:rPr>
          <w:sz w:val="28"/>
          <w:szCs w:val="28"/>
        </w:rPr>
      </w:pPr>
    </w:p>
    <w:tbl>
      <w:tblPr>
        <w:tblStyle w:val="6"/>
        <w:tblW w:w="9563" w:type="dxa"/>
        <w:tblInd w:w="-65" w:type="dxa"/>
        <w:tblLayout w:type="fixed"/>
        <w:tblCellMar>
          <w:top w:w="0" w:type="dxa"/>
          <w:left w:w="108" w:type="dxa"/>
          <w:bottom w:w="0" w:type="dxa"/>
          <w:right w:w="108" w:type="dxa"/>
        </w:tblCellMar>
      </w:tblPr>
      <w:tblGrid>
        <w:gridCol w:w="874"/>
        <w:gridCol w:w="6287"/>
        <w:gridCol w:w="2402"/>
      </w:tblGrid>
      <w:tr>
        <w:tblPrEx>
          <w:tblCellMar>
            <w:top w:w="0" w:type="dxa"/>
            <w:left w:w="108" w:type="dxa"/>
            <w:bottom w:w="0" w:type="dxa"/>
            <w:right w:w="108" w:type="dxa"/>
          </w:tblCellMar>
        </w:tblPrEx>
        <w:trPr>
          <w:trHeight w:val="551" w:hRule="atLeast"/>
        </w:trPr>
        <w:tc>
          <w:tcPr>
            <w:tcW w:w="87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序号</w:t>
            </w:r>
          </w:p>
        </w:tc>
        <w:tc>
          <w:tcPr>
            <w:tcW w:w="6287" w:type="dxa"/>
            <w:tcBorders>
              <w:top w:val="single" w:color="auto" w:sz="4" w:space="0"/>
              <w:left w:val="nil"/>
              <w:bottom w:val="single" w:color="auto" w:sz="4" w:space="0"/>
              <w:right w:val="single" w:color="auto" w:sz="8" w:space="0"/>
              <w:tl2br w:val="nil"/>
              <w:tr2bl w:val="nil"/>
            </w:tcBorders>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材料名称</w:t>
            </w:r>
          </w:p>
        </w:tc>
        <w:tc>
          <w:tcPr>
            <w:tcW w:w="2402" w:type="dxa"/>
            <w:tcBorders>
              <w:top w:val="single" w:color="auto" w:sz="4" w:space="0"/>
              <w:left w:val="nil"/>
              <w:bottom w:val="single" w:color="auto" w:sz="4" w:space="0"/>
              <w:right w:val="single" w:color="auto" w:sz="8" w:space="0"/>
              <w:tl2br w:val="nil"/>
              <w:tr2bl w:val="nil"/>
            </w:tcBorders>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容缺说明</w:t>
            </w:r>
          </w:p>
        </w:tc>
      </w:tr>
      <w:tr>
        <w:tblPrEx>
          <w:tblCellMar>
            <w:top w:w="0" w:type="dxa"/>
            <w:left w:w="108" w:type="dxa"/>
            <w:bottom w:w="0" w:type="dxa"/>
            <w:right w:w="108" w:type="dxa"/>
          </w:tblCellMar>
        </w:tblPrEx>
        <w:trPr>
          <w:trHeight w:val="564" w:hRule="atLeast"/>
        </w:trPr>
        <w:tc>
          <w:tcPr>
            <w:tcW w:w="874"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287"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建设工程施工许可证</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2402"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通过数据共享自动获取</w:t>
            </w:r>
          </w:p>
        </w:tc>
      </w:tr>
      <w:tr>
        <w:tblPrEx>
          <w:tblCellMar>
            <w:top w:w="0" w:type="dxa"/>
            <w:left w:w="108" w:type="dxa"/>
            <w:bottom w:w="0" w:type="dxa"/>
            <w:right w:w="108" w:type="dxa"/>
          </w:tblCellMar>
        </w:tblPrEx>
        <w:trPr>
          <w:trHeight w:val="1500" w:hRule="atLeast"/>
        </w:trPr>
        <w:tc>
          <w:tcPr>
            <w:tcW w:w="874"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287"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各方主体签署的授权书、承诺书：</w:t>
            </w:r>
          </w:p>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份、勘察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份、设计</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份、施工</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份、监理</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2402"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1188" w:hRule="atLeast"/>
        </w:trPr>
        <w:tc>
          <w:tcPr>
            <w:tcW w:w="874"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287"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现场管理技术人员登记表：建设</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份、施工</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份、监理</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2402"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1776" w:hRule="atLeast"/>
        </w:trPr>
        <w:tc>
          <w:tcPr>
            <w:tcW w:w="874"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287" w:type="dxa"/>
            <w:tcBorders>
              <w:top w:val="nil"/>
              <w:left w:val="nil"/>
              <w:bottom w:val="single" w:color="auto" w:sz="4" w:space="0"/>
              <w:right w:val="single" w:color="auto"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p>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重要检测报告： </w:t>
            </w:r>
          </w:p>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电梯</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份、智能</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份、生活用水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份、高压设备</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份、继电保护</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份、接地电阻</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份 </w:t>
            </w:r>
          </w:p>
          <w:p>
            <w:pPr>
              <w:widowControl/>
              <w:spacing w:line="360" w:lineRule="exact"/>
              <w:jc w:val="left"/>
              <w:rPr>
                <w:rFonts w:ascii="仿宋_GB2312" w:hAnsi="仿宋_GB2312" w:eastAsia="仿宋_GB2312" w:cs="仿宋_GB2312"/>
                <w:kern w:val="0"/>
                <w:sz w:val="28"/>
                <w:szCs w:val="28"/>
              </w:rPr>
            </w:pPr>
          </w:p>
        </w:tc>
        <w:tc>
          <w:tcPr>
            <w:tcW w:w="2402" w:type="dxa"/>
            <w:tcBorders>
              <w:top w:val="nil"/>
              <w:left w:val="nil"/>
              <w:bottom w:val="single" w:color="auto" w:sz="4" w:space="0"/>
              <w:right w:val="single" w:color="auto"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813" w:hRule="atLeast"/>
        </w:trPr>
        <w:tc>
          <w:tcPr>
            <w:tcW w:w="874"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6287"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施工单位签署的工程质量保修书</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2402"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970" w:hRule="atLeast"/>
        </w:trPr>
        <w:tc>
          <w:tcPr>
            <w:tcW w:w="874" w:type="dxa"/>
            <w:tcBorders>
              <w:top w:val="nil"/>
              <w:left w:val="single" w:color="auto" w:sz="4" w:space="0"/>
              <w:bottom w:val="single" w:color="auto" w:sz="4" w:space="0"/>
              <w:right w:val="single" w:color="auto" w:sz="4"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6287"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规划核实确认书</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2402" w:type="dxa"/>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bl>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备注：1、材料份数根据申请预验收的单体数量确定；</w:t>
      </w:r>
    </w:p>
    <w:p>
      <w:pPr>
        <w:pStyle w:val="2"/>
        <w:spacing w:line="440" w:lineRule="exact"/>
        <w:ind w:firstLine="280"/>
        <w:rPr>
          <w:rFonts w:eastAsia="仿宋_GB2312"/>
        </w:rPr>
      </w:pPr>
      <w:r>
        <w:rPr>
          <w:rFonts w:hint="eastAsia" w:ascii="仿宋_GB2312" w:hAnsi="仿宋_GB2312" w:eastAsia="仿宋_GB2312" w:cs="仿宋_GB2312"/>
          <w:sz w:val="28"/>
          <w:szCs w:val="28"/>
        </w:rPr>
        <w:t xml:space="preserve">    2、容缺的材料需在申请联合竣工验收前补齐。</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adjustRightInd w:val="0"/>
        <w:snapToGrid w:val="0"/>
        <w:spacing w:line="560" w:lineRule="exact"/>
        <w:rPr>
          <w:rFonts w:ascii="仿宋_GB2312" w:hAnsi="宋体"/>
        </w:rPr>
      </w:pPr>
      <w:r>
        <w:rPr>
          <w:rFonts w:hint="eastAsia" w:ascii="仿宋_GB2312" w:hAnsi="宋体"/>
        </w:rPr>
        <w:t>合同编号：</w:t>
      </w:r>
    </w:p>
    <w:tbl>
      <w:tblPr>
        <w:tblStyle w:val="6"/>
        <w:tblW w:w="6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r>
              <w:rPr>
                <w:rFonts w:hint="eastAsia" w:ascii="仿宋_GB2312"/>
                <w:sz w:val="30"/>
                <w:szCs w:val="30"/>
              </w:rPr>
              <w:t xml:space="preserve"> </w:t>
            </w: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r>
    </w:tbl>
    <w:p>
      <w:pPr>
        <w:jc w:val="center"/>
        <w:rPr>
          <w:rFonts w:ascii="黑体" w:hAnsi="黑体" w:eastAsia="黑体" w:cs="黑体"/>
          <w:sz w:val="36"/>
          <w:szCs w:val="36"/>
        </w:rPr>
      </w:pPr>
    </w:p>
    <w:p>
      <w:pPr>
        <w:jc w:val="center"/>
        <w:rPr>
          <w:rFonts w:ascii="仿宋_GB2312" w:hAnsi="仿宋_GB2312" w:eastAsia="仿宋_GB2312" w:cs="仿宋_GB2312"/>
          <w:sz w:val="32"/>
          <w:szCs w:val="32"/>
        </w:rPr>
      </w:pPr>
      <w:r>
        <w:rPr>
          <w:rFonts w:hint="eastAsia" w:ascii="黑体" w:hAnsi="黑体" w:eastAsia="黑体" w:cs="黑体"/>
          <w:sz w:val="36"/>
          <w:szCs w:val="36"/>
          <w:lang w:eastAsia="zh-CN"/>
        </w:rPr>
        <w:t>龙港市投资项目</w:t>
      </w:r>
      <w:r>
        <w:rPr>
          <w:rFonts w:hint="eastAsia" w:ascii="黑体" w:hAnsi="黑体" w:eastAsia="黑体" w:cs="黑体"/>
          <w:sz w:val="36"/>
          <w:szCs w:val="36"/>
        </w:rPr>
        <w:t>“预验即投产”改革试点项目合同</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（样本）</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   目  名  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项目业主（甲方）：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主管部门（乙方）：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签订日期：   年   月   日</w:t>
      </w:r>
    </w:p>
    <w:p>
      <w:pPr>
        <w:rPr>
          <w:rFonts w:ascii="仿宋_GB2312" w:hAnsi="仿宋_GB2312" w:eastAsia="仿宋_GB2312" w:cs="仿宋_GB2312"/>
          <w:sz w:val="32"/>
          <w:szCs w:val="32"/>
        </w:rPr>
        <w:sectPr>
          <w:footerReference r:id="rId4" w:type="default"/>
          <w:pgSz w:w="11906" w:h="16838"/>
          <w:pgMar w:top="1417" w:right="1417" w:bottom="1417" w:left="1417" w:header="851" w:footer="1418" w:gutter="0"/>
          <w:cols w:space="425" w:num="1"/>
          <w:docGrid w:type="lines" w:linePitch="574" w:charSpace="-1683"/>
        </w:sect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为深化投资项目极简高效审批改革，有效推动建设项目提前投产，根据《优化营商环境条例》、《温州市工程建设项目审批制度改革试点方案》等文件精神，甲乙双方经协商一致，达成如下协议：</w:t>
      </w:r>
    </w:p>
    <w:p>
      <w:pPr>
        <w:ind w:firstLine="640" w:firstLineChars="200"/>
        <w:rPr>
          <w:rFonts w:ascii="黑体" w:hAnsi="黑体" w:eastAsia="黑体" w:cs="黑体"/>
          <w:sz w:val="32"/>
          <w:szCs w:val="32"/>
        </w:rPr>
      </w:pPr>
      <w:r>
        <w:rPr>
          <w:rFonts w:hint="eastAsia" w:ascii="黑体" w:hAnsi="黑体" w:eastAsia="黑体" w:cs="黑体"/>
          <w:sz w:val="32"/>
          <w:szCs w:val="32"/>
        </w:rPr>
        <w:t>一、甲方的权利和义务</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（一）甲方的权利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1.甲方在建设项目通过竣工预验收，并履行本合同确定的甲方义务的前提下，可以提前进行设备搬迁、安装、调试和试生产</w:t>
      </w:r>
      <w:r>
        <w:rPr>
          <w:rFonts w:hint="eastAsia" w:ascii="仿宋_GB2312" w:hAnsi="仿宋_GB2312" w:eastAsia="仿宋_GB2312" w:cs="仿宋_GB2312"/>
          <w:sz w:val="32"/>
          <w:szCs w:val="32"/>
          <w:lang w:eastAsia="zh-CN"/>
        </w:rPr>
        <w:t>等投用行为</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2.因乙方原因造成甲方合法权益遭受损害的，甲方可以向市政务服务中心或者市监察局反映，也有权依法申请行政复议或者提起行政诉讼。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3.乙方工作人员没有履行职责，甲方有权向市监察局等部门投诉。</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（二）甲方的义务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1.确保</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已按照出让合同、建设工程规划许可、施工许可等审批要求完成主体结顶、水电等相关工程，并已通过主体结构验收。内部建筑平面布置、防火分隔、安全疏散等建筑消防指标符合国家建设工程消防技术标准的有关要求。无违法违建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w:t>
      </w:r>
      <w:r>
        <w:rPr>
          <w:rFonts w:hint="eastAsia" w:ascii="仿宋_GB2312" w:hAnsi="仿宋_GB2312" w:eastAsia="仿宋_GB2312" w:cs="仿宋_GB2312"/>
          <w:sz w:val="32"/>
          <w:szCs w:val="32"/>
          <w:lang w:eastAsia="zh-CN"/>
        </w:rPr>
        <w:t>投用</w:t>
      </w:r>
      <w:r>
        <w:rPr>
          <w:rFonts w:hint="eastAsia" w:ascii="仿宋_GB2312" w:hAnsi="仿宋_GB2312" w:eastAsia="仿宋_GB2312" w:cs="仿宋_GB2312"/>
          <w:sz w:val="32"/>
          <w:szCs w:val="32"/>
        </w:rPr>
        <w:t>过程中，保证不变动主体结构、平面布局和使用功能，同时落实</w:t>
      </w:r>
      <w:r>
        <w:rPr>
          <w:rFonts w:hint="eastAsia" w:ascii="仿宋_GB2312" w:hAnsi="仿宋_GB2312" w:eastAsia="仿宋_GB2312" w:cs="仿宋_GB2312"/>
          <w:sz w:val="32"/>
          <w:szCs w:val="32"/>
          <w:lang w:eastAsia="zh-CN"/>
        </w:rPr>
        <w:t>投用</w:t>
      </w:r>
      <w:r>
        <w:rPr>
          <w:rFonts w:hint="eastAsia" w:ascii="仿宋_GB2312" w:hAnsi="仿宋_GB2312" w:eastAsia="仿宋_GB2312" w:cs="仿宋_GB2312"/>
          <w:sz w:val="32"/>
          <w:szCs w:val="32"/>
        </w:rPr>
        <w:t>过程中的各项安全措施。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w:t>
      </w:r>
      <w:r>
        <w:rPr>
          <w:rFonts w:hint="eastAsia" w:ascii="仿宋_GB2312" w:hAnsi="仿宋_GB2312" w:eastAsia="仿宋_GB2312" w:cs="仿宋_GB2312"/>
          <w:sz w:val="32"/>
          <w:szCs w:val="32"/>
          <w:lang w:eastAsia="zh-CN"/>
        </w:rPr>
        <w:t>投用</w:t>
      </w:r>
      <w:r>
        <w:rPr>
          <w:rFonts w:hint="eastAsia" w:ascii="仿宋_GB2312" w:hAnsi="仿宋_GB2312" w:eastAsia="仿宋_GB2312" w:cs="仿宋_GB2312"/>
          <w:sz w:val="32"/>
          <w:szCs w:val="32"/>
        </w:rPr>
        <w:t>过程中，自觉接受有关部门监督，及时做好各类问题整改。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4.尽快完成场外配套等后续建设工程，确保工程质量和施工安全。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5.容缺的各类专项检测及竣工资料在申报联合竣工验收前予以补齐。</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二、乙方的权利和义务</w:t>
      </w:r>
      <w:r>
        <w:rPr>
          <w:rFonts w:hint="eastAsia" w:ascii="仿宋_GB2312" w:hAnsi="仿宋_GB2312" w:eastAsia="仿宋_GB2312" w:cs="仿宋_GB2312"/>
          <w:sz w:val="32"/>
          <w:szCs w:val="32"/>
        </w:rPr>
        <w:t xml:space="preserve"> </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（一）乙方的权利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1.乙方有权依法对甲方实施的项目进行全过程监督管理。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2.甲方不履行本合同约定的义务或者违反有关法律、法规、规章规定的，乙方可以责令其整改或者停止</w:t>
      </w:r>
      <w:r>
        <w:rPr>
          <w:rFonts w:hint="eastAsia" w:ascii="仿宋_GB2312" w:hAnsi="仿宋_GB2312" w:eastAsia="仿宋_GB2312" w:cs="仿宋_GB2312"/>
          <w:sz w:val="32"/>
          <w:szCs w:val="32"/>
          <w:lang w:eastAsia="zh-CN"/>
        </w:rPr>
        <w:t>投用</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3.甲方明确表示或者以自己的行为表明不履行义务的，乙方有权将其记入温州市信用档案，列入失信企业名单，同时向社会公示。</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（二）乙方的义务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1.在项目实施过程中，乙方向甲方提供项目审批、验收、监管等有关方面的咨询服务和技术指导。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2.乙方按照各部门的职责分工，加强项目施工和竣工验收全过程事中事后监管。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lang w:eastAsia="zh-CN"/>
        </w:rPr>
        <w:t>资源与建设局</w:t>
      </w:r>
      <w:r>
        <w:rPr>
          <w:rFonts w:hint="eastAsia" w:ascii="仿宋_GB2312" w:hAnsi="仿宋_GB2312" w:eastAsia="仿宋_GB2312" w:cs="仿宋_GB2312"/>
          <w:sz w:val="32"/>
          <w:szCs w:val="32"/>
        </w:rPr>
        <w:t>：工程施工过程、竣工验收等阶段涉及的施工安全质量行为及安全质量实体情况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建设各方主体责任落实情况，人防结建义务和防雷措施履行情况，监管土地出让合同约定的开竣工时间及各项经济技术指标落实情况，</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违法违建监管以及在</w:t>
      </w:r>
      <w:r>
        <w:rPr>
          <w:rFonts w:hint="eastAsia" w:ascii="仿宋_GB2312" w:hAnsi="仿宋_GB2312" w:eastAsia="仿宋_GB2312" w:cs="仿宋_GB2312"/>
          <w:sz w:val="32"/>
          <w:szCs w:val="32"/>
          <w:lang w:eastAsia="zh-CN"/>
        </w:rPr>
        <w:t>投用</w:t>
      </w:r>
      <w:r>
        <w:rPr>
          <w:rFonts w:hint="eastAsia" w:ascii="仿宋_GB2312" w:hAnsi="仿宋_GB2312" w:eastAsia="仿宋_GB2312" w:cs="仿宋_GB2312"/>
          <w:sz w:val="32"/>
          <w:szCs w:val="32"/>
        </w:rPr>
        <w:t>过程中是否存在变动主体结构、平面布局和使用功能的情况等。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lang w:eastAsia="zh-CN"/>
        </w:rPr>
        <w:t>行政审批局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指导做好规划核实、消防验收等，</w:t>
      </w:r>
      <w:r>
        <w:rPr>
          <w:rFonts w:hint="eastAsia" w:ascii="仿宋_GB2312" w:hAnsi="仿宋_GB2312" w:eastAsia="仿宋_GB2312" w:cs="仿宋_GB2312"/>
          <w:sz w:val="32"/>
          <w:szCs w:val="32"/>
        </w:rPr>
        <w:t>审核项目实施符合相应审批及有关法律法规、规范标准情况等。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3.乙方要全面落实“双随机、一公开”监管制度，不得在监管过程中随意提高门槛，增加企业负担。要充分利用现代信息技术，加强部门协同，推进“互联网+监管”、“部门协同监管”。</w:t>
      </w:r>
    </w:p>
    <w:p>
      <w:pPr>
        <w:ind w:firstLine="640" w:firstLineChars="200"/>
        <w:rPr>
          <w:rFonts w:ascii="黑体" w:hAnsi="黑体" w:eastAsia="黑体" w:cs="黑体"/>
          <w:sz w:val="32"/>
          <w:szCs w:val="32"/>
        </w:rPr>
      </w:pPr>
      <w:r>
        <w:rPr>
          <w:rFonts w:hint="eastAsia" w:ascii="黑体" w:hAnsi="黑体" w:eastAsia="黑体" w:cs="黑体"/>
          <w:sz w:val="32"/>
          <w:szCs w:val="32"/>
        </w:rPr>
        <w:t>三、违约责任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（一）甲方不履行承诺义务或者履行承诺义务不符合承诺的，应当承担继续履行、采取补救措施或者限期改正直至停产恢复原状等违约责任。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（二）甲方在履行合同过程中有违法行为的，依法给予行政处罚。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（三）甲方不履行承诺义务或者在履行承诺过程中存在隐瞒、欺诈行为的，依照相关规定承担法律责任。由此造成项目竣工验收通不过的，相应损失及后果由甲方自行承担。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（四）甲方因不可抗力不能履行承诺的，根据不可抗力的影响，部分或者全部免除责任，并限期采取补救整改措施，但法律另有规定的除外。甲方迟延履行后发生不可抗力的，不能免除责任。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（五）因乙方不履行合同，给甲方的合法权益造成损害的，依法追究相关责任。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本合同一式两份，双方各持一份，乙方原件由市住建局存档，其余部门留存复印件。</w:t>
      </w:r>
    </w:p>
    <w:p>
      <w:pPr>
        <w:spacing w:line="560" w:lineRule="exact"/>
        <w:rPr>
          <w:rFonts w:ascii="仿宋_GB2312" w:hAnsi="仿宋_GB2312" w:eastAsia="仿宋_GB2312" w:cs="仿宋_GB2312"/>
          <w:sz w:val="32"/>
          <w:szCs w:val="32"/>
        </w:rPr>
      </w:pPr>
    </w:p>
    <w:p>
      <w:pPr>
        <w:pStyle w:val="2"/>
        <w:ind w:firstLine="210"/>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项目业主（甲方）（盖公章）：      </w:t>
      </w:r>
    </w:p>
    <w:p>
      <w:pPr>
        <w:rPr>
          <w:rFonts w:ascii="仿宋_GB2312" w:hAnsi="仿宋_GB2312" w:eastAsia="仿宋_GB2312" w:cs="仿宋_GB2312"/>
          <w:sz w:val="32"/>
          <w:szCs w:val="32"/>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法定代表人签字：             </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ascii="仿宋_GB2312" w:hAnsi="仿宋_GB2312" w:eastAsia="仿宋_GB2312" w:cs="仿宋_GB2312"/>
          <w:sz w:val="32"/>
          <w:szCs w:val="32"/>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主管部门（乙方）（盖公章）：</w:t>
      </w:r>
    </w:p>
    <w:p>
      <w:pPr>
        <w:rPr>
          <w:rFonts w:ascii="仿宋_GB2312" w:hAnsi="仿宋_GB2312" w:eastAsia="仿宋_GB2312" w:cs="仿宋_GB2312"/>
          <w:sz w:val="32"/>
          <w:szCs w:val="32"/>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龙港</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自然资源与规划建设</w:t>
      </w:r>
      <w:r>
        <w:rPr>
          <w:rFonts w:hint="eastAsia" w:ascii="仿宋_GB2312" w:hAnsi="仿宋_GB2312" w:eastAsia="仿宋_GB2312" w:cs="仿宋_GB2312"/>
          <w:sz w:val="32"/>
          <w:szCs w:val="32"/>
        </w:rPr>
        <w:t xml:space="preserve">局       </w:t>
      </w:r>
      <w:r>
        <w:rPr>
          <w:rFonts w:hint="eastAsia" w:ascii="仿宋_GB2312" w:hAnsi="仿宋_GB2312" w:eastAsia="仿宋_GB2312" w:cs="仿宋_GB2312"/>
          <w:sz w:val="32"/>
          <w:szCs w:val="32"/>
          <w:lang w:eastAsia="zh-CN"/>
        </w:rPr>
        <w:t>龙港</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行政审批</w:t>
      </w:r>
      <w:r>
        <w:rPr>
          <w:rFonts w:hint="eastAsia" w:ascii="仿宋_GB2312" w:hAnsi="仿宋_GB2312" w:eastAsia="仿宋_GB2312" w:cs="仿宋_GB2312"/>
          <w:sz w:val="32"/>
          <w:szCs w:val="32"/>
        </w:rPr>
        <w:t>局</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rPr>
          <w:rFonts w:hint="eastAsia"/>
          <w:lang w:val="en-US"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Fonts w:cs="Times New Roman"/>
      </w:rPr>
    </w:pPr>
    <w:r>
      <w:fldChar w:fldCharType="begin"/>
    </w:r>
    <w:r>
      <w:rPr>
        <w:rStyle w:val="8"/>
      </w:rPr>
      <w:instrText xml:space="preserve">PAGE  </w:instrText>
    </w:r>
    <w:r>
      <w:fldChar w:fldCharType="separate"/>
    </w:r>
    <w:r>
      <w:t>1</w:t>
    </w:r>
    <w:r>
      <w:fldChar w:fldCharType="end"/>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LMtG9I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077HGZ64H/cIjYTW4yVRhhp8I4ukxzWrO0G3/7Oev519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wsy0b0gEAAKIDAAAOAAAAAAAAAAEAIAAAAB4BAABk&#10;cnMvZTJvRG9jLnhtbFBLBQYAAAAABgAGAFkBAABi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ynfdIBAACiAwAADgAAAGRycy9lMm9Eb2MueG1srVPNjtMwEL4j8Q6W&#10;7zRp0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bfUmK5wYGff3w///x9/vWN&#10;VEme3kONWY8e8+LwwQ24NPM94GViPbTBpC/yIRhHcU8XceUQiUiPVtVqVWJIYGx2EL94eu4DxDvp&#10;DEkGowGnl0XlxweIY+qckqpZd6u0zhPUlvSMvruqrvKDSwTBtcUaicTYbLLisBsmZjvXnJBYjxvA&#10;qMWFp0TfWxQ4LctshNnYzcbBB7XvsMdlrgf+/SFiN7nJVGGEnQrj6DLNac3Sbvzt56ynX2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dLKd90gEAAKIDAAAOAAAAAAAAAAEAIAAAAB4BAABk&#10;cnMvZTJvRG9jLnhtbFBLBQYAAAAABgAGAFkBAABi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F2E5D"/>
    <w:multiLevelType w:val="singleLevel"/>
    <w:tmpl w:val="62DF2E5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MjNhMTViNmYwY2FjZGQ5Nzk0OWIyMjUzMjUwYzMifQ=="/>
  </w:docVars>
  <w:rsids>
    <w:rsidRoot w:val="21D37AAD"/>
    <w:rsid w:val="21D3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rPr>
      <w:szCs w:val="22"/>
    </w:rPr>
  </w:style>
  <w:style w:type="paragraph" w:styleId="3">
    <w:name w:val="Body Text"/>
    <w:basedOn w:val="1"/>
    <w:next w:val="2"/>
    <w:qFormat/>
    <w:uiPriority w:val="0"/>
    <w:pPr>
      <w:spacing w:after="120"/>
    </w:p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2022-08-10T08:59:00Z</dcterms:created>
  <dc:creator>zxt</dc:creator>
  <cp:lastModifiedBy>zxt</cp:lastModifiedBy>
  <dcterms:modified xsi:type="dcterms:W3CDTF">2022-08-10T09:00:09Z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53EEF346B8014C41BC0032F0EA6572C8</vt:lpwstr>
  </property>
</Properties>
</file>