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9A" w:rsidRDefault="00882E0E" w:rsidP="00701D8F">
      <w:pPr>
        <w:pStyle w:val="a5"/>
        <w:shd w:val="clear" w:color="auto" w:fill="FFFFFF"/>
        <w:spacing w:before="0" w:beforeAutospacing="0" w:after="0" w:afterAutospacing="0" w:line="480" w:lineRule="atLeast"/>
        <w:jc w:val="center"/>
        <w:rPr>
          <w:rFonts w:ascii="仿宋" w:eastAsia="仿宋" w:hAnsi="仿宋" w:cs="仿宋"/>
          <w:b/>
          <w:bCs/>
          <w:color w:val="333333"/>
          <w:sz w:val="44"/>
          <w:szCs w:val="44"/>
        </w:rPr>
      </w:pPr>
      <w:r>
        <w:rPr>
          <w:rStyle w:val="a6"/>
          <w:rFonts w:ascii="仿宋" w:eastAsia="仿宋" w:hAnsi="仿宋" w:cs="仿宋" w:hint="eastAsia"/>
          <w:color w:val="333333"/>
          <w:sz w:val="44"/>
          <w:szCs w:val="44"/>
        </w:rPr>
        <w:t>龙港市政府产业基金管理暂行办法</w:t>
      </w:r>
    </w:p>
    <w:p w:rsidR="0084399A" w:rsidRPr="00701D8F" w:rsidRDefault="00701D8F">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6"/>
          <w:szCs w:val="36"/>
        </w:rPr>
      </w:pPr>
      <w:r w:rsidRPr="00701D8F">
        <w:rPr>
          <w:rStyle w:val="a6"/>
          <w:rFonts w:ascii="仿宋" w:eastAsia="仿宋" w:hAnsi="仿宋" w:cs="仿宋" w:hint="eastAsia"/>
          <w:color w:val="333333"/>
          <w:sz w:val="36"/>
          <w:szCs w:val="36"/>
        </w:rPr>
        <w:t>（征求意见稿）</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第一章 总 则</w:t>
      </w:r>
    </w:p>
    <w:p w:rsidR="0084399A" w:rsidRDefault="00882E0E">
      <w:pPr>
        <w:pStyle w:val="3"/>
        <w:widowControl/>
        <w:shd w:val="clear" w:color="auto" w:fill="FFFFFF"/>
        <w:spacing w:beforeAutospacing="0" w:afterAutospacing="0"/>
        <w:ind w:firstLineChars="200" w:firstLine="643"/>
        <w:rPr>
          <w:rFonts w:ascii="仿宋" w:eastAsia="仿宋" w:hAnsi="仿宋" w:cs="仿宋" w:hint="default"/>
          <w:b w:val="0"/>
          <w:color w:val="333333"/>
          <w:sz w:val="32"/>
          <w:szCs w:val="32"/>
        </w:rPr>
      </w:pPr>
      <w:r>
        <w:rPr>
          <w:rFonts w:ascii="仿宋" w:eastAsia="仿宋" w:hAnsi="仿宋" w:cs="仿宋"/>
          <w:bCs/>
          <w:color w:val="333333"/>
          <w:sz w:val="32"/>
          <w:szCs w:val="32"/>
        </w:rPr>
        <w:t>第一条</w:t>
      </w:r>
      <w:r>
        <w:rPr>
          <w:rFonts w:ascii="仿宋" w:eastAsia="仿宋" w:hAnsi="仿宋" w:cs="仿宋"/>
          <w:b w:val="0"/>
          <w:color w:val="333333"/>
          <w:sz w:val="32"/>
          <w:szCs w:val="32"/>
        </w:rPr>
        <w:t xml:space="preserve"> 为规范和加强龙港市政府产业基金的管理与运作，根据财政部《政府投资基金暂行管理办法》（财预〔2015〕210号）、浙江省财政厅《关于规范政府产业基金运作与管理的指导意见》(浙财企〔2015〕70号)、温州市人民政府办公室《关于印发温州市政府产业基金管理暂行办法的通知》（温政办〔2015〕114号）等有关规定，结合我市实际，特制定本办法。</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第二条</w:t>
      </w:r>
      <w:r>
        <w:rPr>
          <w:rFonts w:ascii="仿宋" w:eastAsia="仿宋" w:hAnsi="仿宋" w:cs="仿宋" w:hint="eastAsia"/>
          <w:color w:val="333333"/>
          <w:sz w:val="32"/>
          <w:szCs w:val="32"/>
        </w:rPr>
        <w:t xml:space="preserve"> 市政府产业基金由市政府主导设立，按照“政府引导、市场运作、分类管理、防范风险”的原则进行管理，其设立宗旨是发挥财政资金的杠杆作用，实现政府主导与市场化运作的有效结合，引导并撬动金融资本和社会资本支持实体经济发展，推动我市主导产业和战略性重点领域的发展。</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第三条</w:t>
      </w:r>
      <w:r>
        <w:rPr>
          <w:rFonts w:ascii="仿宋" w:eastAsia="仿宋" w:hAnsi="仿宋" w:cs="仿宋" w:hint="eastAsia"/>
          <w:color w:val="333333"/>
          <w:sz w:val="32"/>
          <w:szCs w:val="32"/>
        </w:rPr>
        <w:t xml:space="preserve"> 市政府产业基金规模定为5亿元人民币，由市财政统筹安排。今后视我市财力及基金绩效情况，经市政府批准后可以逐步扩大规模。</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第二章 组织架构和部门职责</w:t>
      </w:r>
    </w:p>
    <w:p w:rsidR="0084399A" w:rsidRDefault="00882E0E">
      <w:pPr>
        <w:pStyle w:val="a5"/>
        <w:shd w:val="clear" w:color="auto" w:fill="FFFFFF"/>
        <w:spacing w:before="0" w:beforeAutospacing="0" w:after="0" w:afterAutospacing="0" w:line="480" w:lineRule="atLeast"/>
        <w:ind w:firstLineChars="200" w:firstLine="643"/>
        <w:jc w:val="both"/>
        <w:rPr>
          <w:rFonts w:ascii="仿宋" w:eastAsia="仿宋" w:hAnsi="仿宋" w:cs="仿宋"/>
          <w:sz w:val="32"/>
          <w:szCs w:val="32"/>
        </w:rPr>
      </w:pPr>
      <w:r>
        <w:rPr>
          <w:rFonts w:ascii="仿宋" w:eastAsia="仿宋" w:hAnsi="仿宋" w:cs="仿宋" w:hint="eastAsia"/>
          <w:b/>
          <w:bCs/>
          <w:color w:val="333333"/>
          <w:sz w:val="32"/>
          <w:szCs w:val="32"/>
        </w:rPr>
        <w:lastRenderedPageBreak/>
        <w:t>第四条</w:t>
      </w:r>
      <w:r>
        <w:rPr>
          <w:rFonts w:ascii="仿宋" w:eastAsia="仿宋" w:hAnsi="仿宋" w:cs="仿宋" w:hint="eastAsia"/>
          <w:color w:val="333333"/>
          <w:sz w:val="32"/>
          <w:szCs w:val="32"/>
        </w:rPr>
        <w:t xml:space="preserve"> 产业基金组织架构包括产业基金管理委员会（以下简称基金管委会）、基金法人机构、基金运营机构三个层次，按照基金组建方案和管理办法各司其职、各负其责。</w:t>
      </w:r>
    </w:p>
    <w:p w:rsidR="0084399A" w:rsidRDefault="00882E0E">
      <w:pPr>
        <w:pStyle w:val="a5"/>
        <w:spacing w:before="0" w:beforeAutospacing="0" w:after="0" w:afterAutospacing="0"/>
        <w:ind w:firstLineChars="200" w:firstLine="643"/>
        <w:rPr>
          <w:rFonts w:ascii="仿宋" w:eastAsia="仿宋" w:hAnsi="仿宋" w:cs="仿宋"/>
          <w:sz w:val="32"/>
          <w:szCs w:val="32"/>
        </w:rPr>
      </w:pPr>
      <w:r>
        <w:rPr>
          <w:rFonts w:ascii="仿宋" w:eastAsia="仿宋" w:hAnsi="仿宋" w:cs="仿宋" w:hint="eastAsia"/>
          <w:b/>
          <w:bCs/>
          <w:color w:val="333333"/>
          <w:sz w:val="32"/>
          <w:szCs w:val="32"/>
        </w:rPr>
        <w:t>第五条</w:t>
      </w:r>
      <w:r>
        <w:rPr>
          <w:rFonts w:ascii="仿宋" w:eastAsia="仿宋" w:hAnsi="仿宋" w:cs="仿宋" w:hint="eastAsia"/>
          <w:color w:val="333333"/>
          <w:sz w:val="32"/>
          <w:szCs w:val="32"/>
        </w:rPr>
        <w:t xml:space="preserve"> 基金管委会由市政府主要领导为主任，分管副市长任副主任，市委市政府办公室（市审计局）、市经济发展局、市财政局、市农业农村局、市投资促进中心、市国有资本运营有限公司等部门主要负责人为成员。</w:t>
      </w:r>
    </w:p>
    <w:p w:rsidR="0084399A" w:rsidRDefault="00882E0E">
      <w:pPr>
        <w:pStyle w:val="a5"/>
        <w:spacing w:before="0" w:beforeAutospacing="0" w:after="0" w:afterAutospacing="0"/>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基金管委会主要职责：根据国家、省市和我市产业导向及相关规划，确定产业基金投资方向和投资原则，审定基金投资方案、投资协议（子基金合伙协议）及批复基金重大事项；负责对基金的监督管理、政策指导和统筹协调等。</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sidRPr="006751DF">
        <w:rPr>
          <w:rFonts w:ascii="仿宋" w:eastAsia="仿宋" w:hAnsi="仿宋" w:cs="仿宋" w:hint="eastAsia"/>
          <w:b/>
          <w:bCs/>
          <w:sz w:val="32"/>
          <w:szCs w:val="32"/>
        </w:rPr>
        <w:t>第六条</w:t>
      </w:r>
      <w:r w:rsidRPr="006751DF">
        <w:rPr>
          <w:rFonts w:ascii="仿宋" w:eastAsia="仿宋" w:hAnsi="仿宋" w:cs="仿宋" w:hint="eastAsia"/>
          <w:sz w:val="32"/>
          <w:szCs w:val="32"/>
        </w:rPr>
        <w:t>  基金管委会下设办公室（设在市财政局、</w:t>
      </w:r>
      <w:r w:rsidRPr="004B0121">
        <w:rPr>
          <w:rFonts w:ascii="仿宋" w:eastAsia="仿宋" w:hAnsi="仿宋" w:cs="仿宋" w:hint="eastAsia"/>
          <w:sz w:val="32"/>
          <w:szCs w:val="32"/>
        </w:rPr>
        <w:t>委托国资运营有限公司运行</w:t>
      </w:r>
      <w:r w:rsidRPr="006751DF">
        <w:rPr>
          <w:rFonts w:ascii="仿宋" w:eastAsia="仿宋" w:hAnsi="仿宋" w:cs="仿宋" w:hint="eastAsia"/>
          <w:sz w:val="32"/>
          <w:szCs w:val="32"/>
        </w:rPr>
        <w:t>）。办公室主要职责：负责基金</w:t>
      </w:r>
      <w:r>
        <w:rPr>
          <w:rFonts w:ascii="仿宋" w:eastAsia="仿宋" w:hAnsi="仿宋" w:cs="仿宋" w:hint="eastAsia"/>
          <w:color w:val="333333"/>
          <w:sz w:val="32"/>
          <w:szCs w:val="32"/>
        </w:rPr>
        <w:t>管委会的日常工作，贯彻落实基金管委会</w:t>
      </w:r>
      <w:bookmarkStart w:id="0" w:name="_GoBack"/>
      <w:bookmarkEnd w:id="0"/>
      <w:r>
        <w:rPr>
          <w:rFonts w:ascii="仿宋" w:eastAsia="仿宋" w:hAnsi="仿宋" w:cs="仿宋" w:hint="eastAsia"/>
          <w:color w:val="333333"/>
          <w:sz w:val="32"/>
          <w:szCs w:val="32"/>
        </w:rPr>
        <w:t>重大决策，协调基金运作管理中出现的问题等。</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第七条</w:t>
      </w:r>
      <w:r>
        <w:rPr>
          <w:rFonts w:ascii="仿宋" w:eastAsia="仿宋" w:hAnsi="仿宋" w:cs="仿宋" w:hint="eastAsia"/>
          <w:color w:val="333333"/>
          <w:sz w:val="32"/>
          <w:szCs w:val="32"/>
        </w:rPr>
        <w:t>  市国有资本运营有限公司作为基金法人机构，负责市政府产业基金的日常管理或委托专业机构管理。</w:t>
      </w:r>
    </w:p>
    <w:p w:rsidR="0084399A" w:rsidRDefault="00882E0E">
      <w:pPr>
        <w:pStyle w:val="a5"/>
        <w:spacing w:before="0" w:beforeAutospacing="0" w:after="0" w:afterAutospacing="0"/>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基金法人机构主要职责：负责政府产业基金日常管理，授权代履行出资人职责；通过公开方式选配子基金运营机构；签定章程或合伙协议、基金退出等事务；定期向基金管委会办公室报送基金运作情况，执行管委会决议等。</w:t>
      </w:r>
    </w:p>
    <w:p w:rsidR="0084399A" w:rsidRDefault="0084399A">
      <w:pPr>
        <w:pStyle w:val="a5"/>
        <w:spacing w:before="0" w:beforeAutospacing="0" w:after="0" w:afterAutospacing="0"/>
        <w:ind w:firstLineChars="200" w:firstLine="640"/>
        <w:rPr>
          <w:rFonts w:ascii="仿宋" w:eastAsia="仿宋" w:hAnsi="仿宋" w:cs="仿宋"/>
          <w:color w:val="333333"/>
          <w:sz w:val="32"/>
          <w:szCs w:val="32"/>
        </w:rPr>
      </w:pPr>
    </w:p>
    <w:p w:rsidR="0084399A" w:rsidRDefault="00882E0E">
      <w:pPr>
        <w:pStyle w:val="a5"/>
        <w:spacing w:before="0" w:beforeAutospacing="0" w:after="0" w:afterAutospacing="0"/>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lastRenderedPageBreak/>
        <w:t>受托专业机构主要职责：负责收集和汇总基金投资合作意向并进行筛选，组建投资项目库；开展对拟投资合作项目尽职调查、入股谈判、投后管理等。</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第八条</w:t>
      </w:r>
      <w:r>
        <w:rPr>
          <w:rFonts w:ascii="仿宋" w:eastAsia="仿宋" w:hAnsi="仿宋" w:cs="仿宋" w:hint="eastAsia"/>
          <w:color w:val="333333"/>
          <w:sz w:val="32"/>
          <w:szCs w:val="32"/>
        </w:rPr>
        <w:t xml:space="preserve"> 各行业主管部门应研究提出相关领域基金投资信息和需求，落实行业监管和项目对接服务，每半年推荐本行业的投资对象名单。</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第三章 投资方向和投资原则</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第九条</w:t>
      </w:r>
      <w:r>
        <w:rPr>
          <w:rFonts w:ascii="仿宋" w:eastAsia="仿宋" w:hAnsi="仿宋" w:cs="仿宋" w:hint="eastAsia"/>
          <w:color w:val="333333"/>
          <w:sz w:val="32"/>
          <w:szCs w:val="32"/>
        </w:rPr>
        <w:t xml:space="preserve"> 产业基金投资项目应符合国家、省和我市产业政策以及相关产业发展规划，所投领域应具备良好的产业基础条件，有一定的人才、技术、项目储备，能够有效引领我市创业创新和产业转型升级。</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第十条</w:t>
      </w:r>
      <w:r>
        <w:rPr>
          <w:rFonts w:ascii="仿宋" w:eastAsia="仿宋" w:hAnsi="仿宋" w:cs="仿宋" w:hint="eastAsia"/>
          <w:color w:val="333333"/>
          <w:sz w:val="32"/>
          <w:szCs w:val="32"/>
        </w:rPr>
        <w:t>  产业基金重点投向印刷包装、新材料、高端装备制造、数字经济、现代物流、康养、节能环保、旅游休闲、文化创意等产业和和农业农村发展项目，不得投向高污染、高能耗、落后产能等国家限制行业。</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第十一条 </w:t>
      </w:r>
      <w:r>
        <w:rPr>
          <w:rFonts w:ascii="仿宋" w:eastAsia="仿宋" w:hAnsi="仿宋" w:cs="仿宋" w:hint="eastAsia"/>
          <w:color w:val="333333"/>
          <w:sz w:val="32"/>
          <w:szCs w:val="32"/>
        </w:rPr>
        <w:t xml:space="preserve"> 产业基金不得从事以下业务：</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（一）从事融资担保以外的担保、抵押、委托贷款等业务；</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（二）投资二级市场股票、期货、房地产、证券投资基金、评级AAA以下的企业债、信托产品、非保本型理财产品、保险计划及其他金融衍生品；    </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（三）向任何第三方提供赞助、捐赠（经批准的公益性捐赠除外）；</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（四）吸收或变相吸收存款，或向第三方提供贷款和资金拆借；</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（五）进行承担无限连带责任的对外投资；</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（六）发行信托或集合理财产品募集资金；</w:t>
      </w:r>
    </w:p>
    <w:p w:rsidR="0084399A" w:rsidRDefault="00882E0E">
      <w:pPr>
        <w:widowControl/>
        <w:shd w:val="clear" w:color="auto" w:fill="FFFFFF"/>
        <w:spacing w:line="360" w:lineRule="atLeast"/>
        <w:ind w:firstLine="48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（七）其他国家法律法规禁止从事的业务。</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 xml:space="preserve">第十二条 </w:t>
      </w:r>
      <w:r>
        <w:rPr>
          <w:rFonts w:ascii="仿宋" w:eastAsia="仿宋" w:hAnsi="仿宋" w:cs="仿宋" w:hint="eastAsia"/>
          <w:color w:val="333333"/>
          <w:sz w:val="32"/>
          <w:szCs w:val="32"/>
        </w:rPr>
        <w:t>产业基金主要采用“子基金”和“直接投资”模式进行运作。基金投资的项目，由基金管理人依据法律法规及投资协议，行使股东权利，但不参与项目日常经营管理。</w:t>
      </w:r>
    </w:p>
    <w:p w:rsidR="0084399A" w:rsidRDefault="00882E0E">
      <w:pPr>
        <w:spacing w:line="600" w:lineRule="exact"/>
        <w:ind w:firstLineChars="200" w:firstLine="643"/>
        <w:jc w:val="left"/>
        <w:rPr>
          <w:rFonts w:ascii="仿宋" w:eastAsia="仿宋" w:hAnsi="仿宋" w:cs="仿宋"/>
          <w:color w:val="333333"/>
          <w:kern w:val="0"/>
          <w:sz w:val="32"/>
          <w:szCs w:val="32"/>
        </w:rPr>
      </w:pPr>
      <w:r>
        <w:rPr>
          <w:rFonts w:ascii="仿宋" w:eastAsia="仿宋" w:hAnsi="仿宋" w:cs="仿宋" w:hint="eastAsia"/>
          <w:b/>
          <w:bCs/>
          <w:color w:val="333333"/>
          <w:kern w:val="0"/>
          <w:sz w:val="32"/>
          <w:szCs w:val="32"/>
        </w:rPr>
        <w:t xml:space="preserve">第十三条 </w:t>
      </w:r>
      <w:r>
        <w:rPr>
          <w:rFonts w:ascii="仿宋" w:eastAsia="仿宋" w:hAnsi="仿宋" w:cs="仿宋" w:hint="eastAsia"/>
          <w:color w:val="333333"/>
          <w:kern w:val="0"/>
          <w:sz w:val="32"/>
          <w:szCs w:val="32"/>
        </w:rPr>
        <w:t xml:space="preserve"> 为吸引更多优质项目落户龙港市，吸引更多的社会资金投向优势特色产业，设立相关子基金。</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（一）子基金分为“定向基金”和“非定向基金”。</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定向基金是指以市政府产业基金为主、社会资本参与的通过私募方式共同组建，委托专业投资机构进行运作管理，以市内特定重大产业项目为投资标的的股权投资基金。</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非定向基金是指由市政府产业基金、社会资本等以私募方式共同组建，委托专业投资机构进行运作管理，投向非特定对象的股权投资基金。</w:t>
      </w:r>
    </w:p>
    <w:p w:rsidR="0084399A" w:rsidRPr="005449DE" w:rsidRDefault="00882E0E">
      <w:pPr>
        <w:spacing w:line="600" w:lineRule="exact"/>
        <w:ind w:firstLineChars="200" w:firstLine="640"/>
        <w:jc w:val="left"/>
        <w:rPr>
          <w:rFonts w:ascii="仿宋" w:eastAsia="仿宋" w:hAnsi="仿宋" w:cs="仿宋"/>
          <w:kern w:val="0"/>
          <w:sz w:val="32"/>
          <w:szCs w:val="32"/>
        </w:rPr>
      </w:pPr>
      <w:r>
        <w:rPr>
          <w:rFonts w:ascii="仿宋" w:eastAsia="仿宋" w:hAnsi="仿宋" w:cs="仿宋" w:hint="eastAsia"/>
          <w:color w:val="333333"/>
          <w:kern w:val="0"/>
          <w:sz w:val="32"/>
          <w:szCs w:val="32"/>
        </w:rPr>
        <w:t>“非定向基金”产业基金出资原则上不超过30%</w:t>
      </w:r>
      <w:r w:rsidRPr="005449DE">
        <w:rPr>
          <w:rFonts w:ascii="仿宋" w:eastAsia="仿宋" w:hAnsi="仿宋" w:cs="仿宋" w:hint="eastAsia"/>
          <w:kern w:val="0"/>
          <w:sz w:val="32"/>
          <w:szCs w:val="32"/>
        </w:rPr>
        <w:t>，</w:t>
      </w:r>
      <w:r w:rsidRPr="004B0121">
        <w:rPr>
          <w:rFonts w:ascii="仿宋" w:eastAsia="仿宋" w:hAnsi="仿宋" w:cs="仿宋" w:hint="eastAsia"/>
          <w:kern w:val="0"/>
          <w:sz w:val="32"/>
          <w:szCs w:val="32"/>
        </w:rPr>
        <w:t>特殊情况一事一议。“定向基金”</w:t>
      </w:r>
      <w:r w:rsidRPr="005449DE">
        <w:rPr>
          <w:rFonts w:ascii="仿宋" w:eastAsia="仿宋" w:hAnsi="仿宋" w:cs="仿宋" w:hint="eastAsia"/>
          <w:kern w:val="0"/>
          <w:sz w:val="32"/>
          <w:szCs w:val="32"/>
        </w:rPr>
        <w:t>产业基金出资原则上不做限制。</w:t>
      </w:r>
      <w:r w:rsidRPr="005449DE">
        <w:rPr>
          <w:rFonts w:ascii="仿宋" w:eastAsia="仿宋" w:hAnsi="仿宋" w:cs="仿宋" w:hint="eastAsia"/>
          <w:sz w:val="32"/>
          <w:szCs w:val="32"/>
        </w:rPr>
        <w:t>子基金投资于我市的资金总额不得低于</w:t>
      </w:r>
      <w:r w:rsidRPr="005449DE">
        <w:rPr>
          <w:rFonts w:ascii="仿宋" w:eastAsia="仿宋" w:hAnsi="仿宋" w:cs="仿宋" w:hint="eastAsia"/>
          <w:kern w:val="0"/>
          <w:sz w:val="32"/>
          <w:szCs w:val="32"/>
        </w:rPr>
        <w:t>产业基金</w:t>
      </w:r>
      <w:r w:rsidRPr="005449DE">
        <w:rPr>
          <w:rFonts w:ascii="仿宋" w:eastAsia="仿宋" w:hAnsi="仿宋" w:cs="仿宋" w:hint="eastAsia"/>
          <w:sz w:val="32"/>
          <w:szCs w:val="32"/>
        </w:rPr>
        <w:t>出资部分</w:t>
      </w:r>
      <w:r w:rsidRPr="005449DE">
        <w:rPr>
          <w:rFonts w:ascii="仿宋" w:eastAsia="仿宋" w:hAnsi="仿宋" w:cs="仿宋" w:hint="eastAsia"/>
          <w:kern w:val="0"/>
          <w:sz w:val="32"/>
          <w:szCs w:val="32"/>
        </w:rPr>
        <w:t>。</w:t>
      </w:r>
    </w:p>
    <w:p w:rsidR="0084399A" w:rsidRDefault="00882E0E">
      <w:pPr>
        <w:pStyle w:val="a5"/>
        <w:numPr>
          <w:ilvl w:val="0"/>
          <w:numId w:val="1"/>
        </w:numPr>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lastRenderedPageBreak/>
        <w:t>子基金组织形式：子基金可采用合伙企业制、公司制、契约制等方式，但以有限合伙制为主。</w:t>
      </w:r>
    </w:p>
    <w:p w:rsidR="0084399A" w:rsidRDefault="00882E0E">
      <w:pPr>
        <w:pStyle w:val="a5"/>
        <w:numPr>
          <w:ilvl w:val="0"/>
          <w:numId w:val="1"/>
        </w:numPr>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t>子基金管理要求：子基金注册地、托管银行原则上需设在龙港市；子基金投资团队关键人士需在子基金企业担任相应职务，资金募集完成后需按有关规定完成备案。</w:t>
      </w:r>
    </w:p>
    <w:p w:rsidR="0084399A" w:rsidRDefault="00882E0E">
      <w:pPr>
        <w:pStyle w:val="a5"/>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t>（四）子基金投资期限要求：产业基金合作设立的子基金投资期限一般为3-5年，最长不超过7年，确需延展投资期限的，按项目投资原有决策程序报批确定。</w:t>
      </w:r>
    </w:p>
    <w:p w:rsidR="0084399A" w:rsidRDefault="00882E0E">
      <w:pPr>
        <w:pStyle w:val="a5"/>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t>（五）子基金运营机构要求：产业基金合作设立的子基金应委托专业机构进行运营管理，应符合以下基本条件：</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1.在中华人民共和国境内依法设立，且已在相关主管部门或行业自律组织登记备案，注册资本不低于1000万元，最近3年不存在重大违法违规行为；</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2.有固定营业场所及与其业务相适应的软硬件设施，应向符合《私募投资基金监督管理暂行办法》（证监会第105号令）等规定的合格投资者募集资金；</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3.具备丰富的投资管理经验和良好的管理业绩，健全的投资管理和风险控制流程，规范的项目遴选机制，能够为被投资企业提供创业辅导、管理咨询等增值服务；</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4.至少有3名具备3年以上股权投资或股权投资基金管理工作经验的高级管理人员，且团队有3个（含）以上股权投资的成功案例；</w:t>
      </w:r>
    </w:p>
    <w:p w:rsidR="0084399A" w:rsidRDefault="00882E0E">
      <w:pPr>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5.专业机构在提交合作方案时，须至少已取得拟设立子基金总规模30%额度的出资意向，并提供拟出资人出资承诺函或类似材料。</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第十四条</w:t>
      </w:r>
      <w:r>
        <w:rPr>
          <w:rFonts w:ascii="仿宋" w:eastAsia="仿宋" w:hAnsi="仿宋" w:cs="仿宋" w:hint="eastAsia"/>
          <w:color w:val="333333"/>
          <w:sz w:val="32"/>
          <w:szCs w:val="32"/>
        </w:rPr>
        <w:t>  产业基金对市内部分重大项目可实行“直接投资”运作模式，具体可根据不同类别的投资对象，采取优先股、直接参股、参与定向增发、持有“金股”等不同的股权投资管理形式。直接投资的项目出资中如有非现金资产，需经具备资质的资产评估机构进行评估，合理确定产业基金出资比例。产业基金出资比例一般不高于直投项目股权的20%，且不为第一大股东。</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 xml:space="preserve">第四章  投资项目退出 </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第十五条</w:t>
      </w:r>
      <w:r>
        <w:rPr>
          <w:rFonts w:ascii="仿宋" w:eastAsia="仿宋" w:hAnsi="仿宋" w:cs="仿宋" w:hint="eastAsia"/>
          <w:color w:val="333333"/>
          <w:sz w:val="32"/>
          <w:szCs w:val="32"/>
        </w:rPr>
        <w:t>  产业基金投资项目应在公司章程或合伙协议中载明退出期限、退出条件和退出方式，在达到投资年限或约定退出条件时，应适时采取股权转让、股票减持、股东回购以及解散清算等方式实现退出。</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第十六条 </w:t>
      </w:r>
      <w:r>
        <w:rPr>
          <w:rFonts w:ascii="仿宋" w:eastAsia="仿宋" w:hAnsi="仿宋" w:cs="仿宋" w:hint="eastAsia"/>
          <w:color w:val="333333"/>
          <w:sz w:val="32"/>
          <w:szCs w:val="32"/>
        </w:rPr>
        <w:t xml:space="preserve"> 采取“子基金”运作模式的，市国有资本运营有限公司应与其他出资人在投资基金章程里约定，有下述情况之一时，可无需其他出资人同意，选择提前退出：</w:t>
      </w:r>
    </w:p>
    <w:p w:rsidR="0084399A" w:rsidRDefault="00882E0E">
      <w:pPr>
        <w:pStyle w:val="a5"/>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t>（一）基金组建方案确认后超过1年，其他出资人未按规定程序和时间要求完成设立或增资手续的；</w:t>
      </w:r>
    </w:p>
    <w:p w:rsidR="0084399A" w:rsidRDefault="00882E0E">
      <w:pPr>
        <w:pStyle w:val="a5"/>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t>（二）产业基金拨付子基金账户1年以上，参股子基金未开展投资业务的；</w:t>
      </w:r>
    </w:p>
    <w:p w:rsidR="0084399A" w:rsidRDefault="00882E0E">
      <w:pPr>
        <w:pStyle w:val="a5"/>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lastRenderedPageBreak/>
        <w:t>（三）子基金投资领域和阶段不符合原定政策目标的；</w:t>
      </w:r>
    </w:p>
    <w:p w:rsidR="0084399A" w:rsidRDefault="00882E0E">
      <w:pPr>
        <w:pStyle w:val="a5"/>
        <w:spacing w:before="0" w:beforeAutospacing="0" w:after="0" w:afterAutospacing="0"/>
        <w:ind w:firstLine="420"/>
        <w:rPr>
          <w:rFonts w:ascii="仿宋" w:eastAsia="仿宋" w:hAnsi="仿宋" w:cs="仿宋"/>
          <w:color w:val="333333"/>
          <w:sz w:val="32"/>
          <w:szCs w:val="32"/>
        </w:rPr>
      </w:pPr>
      <w:r>
        <w:rPr>
          <w:rFonts w:ascii="仿宋" w:eastAsia="仿宋" w:hAnsi="仿宋" w:cs="仿宋" w:hint="eastAsia"/>
          <w:color w:val="333333"/>
          <w:sz w:val="32"/>
          <w:szCs w:val="32"/>
        </w:rPr>
        <w:t>（四）发现其他危及基金安全或违背基金政策目标等事前约定的退出情形的。</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第十七条</w:t>
      </w:r>
      <w:r>
        <w:rPr>
          <w:rFonts w:ascii="仿宋" w:eastAsia="仿宋" w:hAnsi="仿宋" w:cs="仿宋" w:hint="eastAsia"/>
          <w:color w:val="333333"/>
          <w:sz w:val="32"/>
          <w:szCs w:val="32"/>
        </w:rPr>
        <w:t>  政府产业基金直接投资的项目，退出时应当按照国有产权管理的有关规定通过公开市场进行，应当聘请符合资质的中介机构对所持股权进行专项</w:t>
      </w:r>
      <w:hyperlink r:id="rId8" w:tgtFrame="_blank" w:tooltip="审计" w:history="1">
        <w:r>
          <w:rPr>
            <w:rStyle w:val="a8"/>
            <w:rFonts w:ascii="仿宋" w:eastAsia="仿宋" w:hAnsi="仿宋" w:cs="仿宋" w:hint="eastAsia"/>
            <w:color w:val="333333"/>
            <w:sz w:val="32"/>
            <w:szCs w:val="32"/>
            <w:u w:val="none"/>
          </w:rPr>
          <w:t>审计</w:t>
        </w:r>
      </w:hyperlink>
      <w:r>
        <w:rPr>
          <w:rFonts w:ascii="仿宋" w:eastAsia="仿宋" w:hAnsi="仿宋" w:cs="仿宋" w:hint="eastAsia"/>
          <w:color w:val="333333"/>
          <w:sz w:val="32"/>
          <w:szCs w:val="32"/>
        </w:rPr>
        <w:t>和资产评估，作为确定退出价格的重要参考。</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 xml:space="preserve">第五章  费用和收益管理 </w:t>
      </w:r>
    </w:p>
    <w:p w:rsidR="0084399A" w:rsidRDefault="00882E0E">
      <w:pPr>
        <w:pStyle w:val="a5"/>
        <w:spacing w:before="0" w:beforeAutospacing="0" w:after="0" w:afterAutospacing="0"/>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第十八条</w:t>
      </w:r>
      <w:r>
        <w:rPr>
          <w:rFonts w:ascii="仿宋" w:eastAsia="仿宋" w:hAnsi="仿宋" w:cs="仿宋" w:hint="eastAsia"/>
          <w:color w:val="333333"/>
          <w:sz w:val="32"/>
          <w:szCs w:val="32"/>
        </w:rPr>
        <w:t xml:space="preserve">  基金投资项目的收益分配方式应在章程或合伙协议中载明，可以采取一定期限收益让渡、约定退出期限和回报率、按同期银行贷款基准利率收取一定的收益等方式给予适当让利，但应完善与之相适应的收益让渡、风险承担等挂钩机制。</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第十九条 </w:t>
      </w:r>
      <w:r>
        <w:rPr>
          <w:rFonts w:ascii="仿宋" w:eastAsia="仿宋" w:hAnsi="仿宋" w:cs="仿宋" w:hint="eastAsia"/>
          <w:color w:val="333333"/>
          <w:sz w:val="32"/>
          <w:szCs w:val="32"/>
        </w:rPr>
        <w:t xml:space="preserve"> 产业基金发生的委托管理费用应专项列支，年委托管理费用总额一般为母基金实际投资金额的6‰</w:t>
      </w:r>
      <w:r>
        <w:rPr>
          <w:rFonts w:ascii="仿宋" w:eastAsia="仿宋" w:hAnsi="仿宋" w:cs="仿宋"/>
          <w:color w:val="333333"/>
          <w:sz w:val="32"/>
          <w:szCs w:val="32"/>
        </w:rPr>
        <w:t>，最高不超过</w:t>
      </w:r>
      <w:r>
        <w:rPr>
          <w:rFonts w:ascii="仿宋" w:eastAsia="仿宋" w:hAnsi="仿宋" w:cs="仿宋" w:hint="eastAsia"/>
          <w:color w:val="333333"/>
          <w:sz w:val="32"/>
          <w:szCs w:val="32"/>
        </w:rPr>
        <w:t>1%</w:t>
      </w:r>
      <w:r>
        <w:rPr>
          <w:rFonts w:ascii="仿宋" w:eastAsia="仿宋" w:hAnsi="仿宋" w:cs="仿宋"/>
          <w:color w:val="333333"/>
          <w:sz w:val="32"/>
          <w:szCs w:val="32"/>
        </w:rPr>
        <w:t>。</w:t>
      </w:r>
    </w:p>
    <w:p w:rsidR="0084399A" w:rsidRDefault="00882E0E">
      <w:pPr>
        <w:pStyle w:val="a5"/>
        <w:shd w:val="clear" w:color="auto" w:fill="FFFFFF"/>
        <w:spacing w:before="0" w:beforeAutospacing="0" w:after="0" w:afterAutospacing="0" w:line="480" w:lineRule="atLeas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子基金运营机构管理费用按照子基金合伙协议进行支付，原则上按照基金实际到位资金规模的一定比例和过往管理业绩确定固定比例的管理费用，按未来业绩确定普通合伙人与有限合伙人的分成。</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第六章 监督管理与风险防控</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lastRenderedPageBreak/>
        <w:t>第二十条</w:t>
      </w:r>
      <w:r>
        <w:rPr>
          <w:rFonts w:ascii="仿宋" w:eastAsia="仿宋" w:hAnsi="仿宋" w:cs="仿宋" w:hint="eastAsia"/>
          <w:color w:val="333333"/>
          <w:sz w:val="32"/>
          <w:szCs w:val="32"/>
        </w:rPr>
        <w:t xml:space="preserve"> 市政府产业基金管委会成员单位应根据各自职责，建立对政府基金运作的相应监管机制，健全投资决策委员会的审议决策规程，按照“公开、透明、择优”的原则确定基金投资项目，并严格实行项目公示制度，接受社会各方面的监督，对于发现的问题要及时提出整改意见，确保基金规范运作和管理，更好发挥基金政策引导作用。</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第二十一条</w:t>
      </w:r>
      <w:r>
        <w:rPr>
          <w:rFonts w:ascii="仿宋" w:eastAsia="仿宋" w:hAnsi="仿宋" w:cs="仿宋" w:hint="eastAsia"/>
          <w:color w:val="333333"/>
          <w:sz w:val="32"/>
          <w:szCs w:val="32"/>
        </w:rPr>
        <w:t xml:space="preserve"> 市国有资本运营有限公司要加强对市政府产业基金运作的内部管理，对政府产业基金实行专户管理、专账核算；建立健全包括</w:t>
      </w:r>
      <w:hyperlink r:id="rId9" w:tgtFrame="_blank" w:tooltip="风险管理" w:history="1">
        <w:r>
          <w:rPr>
            <w:rFonts w:ascii="仿宋" w:eastAsia="仿宋" w:hAnsi="仿宋" w:cs="仿宋" w:hint="eastAsia"/>
            <w:color w:val="333333"/>
            <w:sz w:val="32"/>
            <w:szCs w:val="32"/>
          </w:rPr>
          <w:t>风险管理</w:t>
        </w:r>
      </w:hyperlink>
      <w:r>
        <w:rPr>
          <w:rFonts w:ascii="仿宋" w:eastAsia="仿宋" w:hAnsi="仿宋" w:cs="仿宋" w:hint="eastAsia"/>
          <w:color w:val="333333"/>
          <w:sz w:val="32"/>
          <w:szCs w:val="32"/>
        </w:rPr>
        <w:t>制度、风险管理组织和风险控制流程在内的风控合规体系及内部管控制度；严格实行规范的投资项目征集、筛选、预审、投入、退出等全过程的运作管理工作，并视工作需要委托专业机构开展专项审计，有效防范运作风险，确保基金运营安全和有效。</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第七章 定期报告制度</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第二十二条</w:t>
      </w:r>
      <w:r>
        <w:rPr>
          <w:rFonts w:ascii="仿宋" w:eastAsia="仿宋" w:hAnsi="仿宋" w:cs="仿宋" w:hint="eastAsia"/>
          <w:color w:val="333333"/>
          <w:sz w:val="32"/>
          <w:szCs w:val="32"/>
        </w:rPr>
        <w:t xml:space="preserve"> 每季度结束后15日内，市国有资本运营有限公司要向基金管委会办公室报送政府产业基金及子基金投资运作情况。</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第二十三条</w:t>
      </w:r>
      <w:r>
        <w:rPr>
          <w:rFonts w:ascii="仿宋" w:eastAsia="仿宋" w:hAnsi="仿宋" w:cs="仿宋" w:hint="eastAsia"/>
          <w:color w:val="333333"/>
          <w:sz w:val="32"/>
          <w:szCs w:val="32"/>
        </w:rPr>
        <w:t xml:space="preserve"> 年度结束后4个月内，市国有资本运营有限公司要向基金管委会办公室提交政府产业基金年度工作报告和年度财务审计报告。</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lastRenderedPageBreak/>
        <w:t>第二十四条</w:t>
      </w:r>
      <w:r>
        <w:rPr>
          <w:rFonts w:ascii="仿宋" w:eastAsia="仿宋" w:hAnsi="仿宋" w:cs="仿宋" w:hint="eastAsia"/>
          <w:color w:val="333333"/>
          <w:sz w:val="32"/>
          <w:szCs w:val="32"/>
        </w:rPr>
        <w:t xml:space="preserve"> 基金运作和管理中如发生重大问题，市国有资本运营有限公司应在7个工作日内向基金管委会办公室报告，并提出对问题的处置建议方案。</w:t>
      </w:r>
    </w:p>
    <w:p w:rsidR="0084399A" w:rsidRDefault="00882E0E">
      <w:pPr>
        <w:pStyle w:val="a5"/>
        <w:shd w:val="clear" w:color="auto" w:fill="FFFFFF"/>
        <w:spacing w:before="0" w:beforeAutospacing="0" w:after="0" w:afterAutospacing="0" w:line="480" w:lineRule="atLeast"/>
        <w:ind w:firstLine="480"/>
        <w:jc w:val="center"/>
        <w:rPr>
          <w:rStyle w:val="a6"/>
          <w:rFonts w:ascii="仿宋" w:eastAsia="仿宋" w:hAnsi="仿宋" w:cs="仿宋"/>
          <w:color w:val="333333"/>
          <w:sz w:val="32"/>
          <w:szCs w:val="32"/>
        </w:rPr>
      </w:pPr>
      <w:r>
        <w:rPr>
          <w:rStyle w:val="a6"/>
          <w:rFonts w:ascii="仿宋" w:eastAsia="仿宋" w:hAnsi="仿宋" w:cs="仿宋" w:hint="eastAsia"/>
          <w:color w:val="333333"/>
          <w:sz w:val="32"/>
          <w:szCs w:val="32"/>
        </w:rPr>
        <w:t>第八章 附 则</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第二十五条</w:t>
      </w:r>
      <w:r>
        <w:rPr>
          <w:rFonts w:ascii="仿宋" w:eastAsia="仿宋" w:hAnsi="仿宋" w:cs="仿宋" w:hint="eastAsia"/>
          <w:color w:val="333333"/>
          <w:sz w:val="32"/>
          <w:szCs w:val="32"/>
        </w:rPr>
        <w:t>  本办法由市财政局负责解释，自通过之日起施行。</w:t>
      </w:r>
    </w:p>
    <w:p w:rsidR="0084399A" w:rsidRDefault="00882E0E">
      <w:pPr>
        <w:pStyle w:val="a5"/>
        <w:shd w:val="clear" w:color="auto" w:fill="FFFFFF"/>
        <w:spacing w:before="0" w:beforeAutospacing="0" w:after="0" w:afterAutospacing="0" w:line="480" w:lineRule="atLeast"/>
        <w:ind w:firstLineChars="200" w:firstLine="643"/>
        <w:rPr>
          <w:rFonts w:ascii="仿宋" w:eastAsia="仿宋" w:hAnsi="仿宋" w:cs="仿宋"/>
          <w:color w:val="333333"/>
          <w:sz w:val="32"/>
          <w:szCs w:val="32"/>
        </w:rPr>
      </w:pPr>
      <w:r>
        <w:rPr>
          <w:rFonts w:ascii="仿宋" w:eastAsia="仿宋" w:hAnsi="仿宋" w:cs="仿宋" w:hint="eastAsia"/>
          <w:b/>
          <w:bCs/>
          <w:color w:val="333333"/>
          <w:sz w:val="32"/>
          <w:szCs w:val="32"/>
        </w:rPr>
        <w:t>第二十六条 </w:t>
      </w:r>
      <w:r>
        <w:rPr>
          <w:rFonts w:ascii="仿宋" w:eastAsia="仿宋" w:hAnsi="仿宋" w:cs="仿宋" w:hint="eastAsia"/>
          <w:color w:val="333333"/>
          <w:sz w:val="32"/>
          <w:szCs w:val="32"/>
        </w:rPr>
        <w:t xml:space="preserve"> 与上级相关产业基金合作设立的子基金管理比照上级有关管理办法执行。</w:t>
      </w:r>
    </w:p>
    <w:p w:rsidR="0084399A" w:rsidRDefault="0084399A">
      <w:pPr>
        <w:rPr>
          <w:rFonts w:ascii="仿宋" w:eastAsia="仿宋" w:hAnsi="仿宋" w:cs="仿宋"/>
          <w:sz w:val="32"/>
          <w:szCs w:val="32"/>
        </w:rPr>
      </w:pPr>
    </w:p>
    <w:sectPr w:rsidR="0084399A" w:rsidSect="00843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2B" w:rsidRDefault="00836D2B" w:rsidP="00361CD6">
      <w:r>
        <w:separator/>
      </w:r>
    </w:p>
  </w:endnote>
  <w:endnote w:type="continuationSeparator" w:id="1">
    <w:p w:rsidR="00836D2B" w:rsidRDefault="00836D2B" w:rsidP="00361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2B" w:rsidRDefault="00836D2B" w:rsidP="00361CD6">
      <w:r>
        <w:separator/>
      </w:r>
    </w:p>
  </w:footnote>
  <w:footnote w:type="continuationSeparator" w:id="1">
    <w:p w:rsidR="00836D2B" w:rsidRDefault="00836D2B" w:rsidP="00361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A09B0"/>
    <w:multiLevelType w:val="singleLevel"/>
    <w:tmpl w:val="6A8A09B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4797B"/>
    <w:rsid w:val="00361CD6"/>
    <w:rsid w:val="003A02F5"/>
    <w:rsid w:val="00432445"/>
    <w:rsid w:val="004B0121"/>
    <w:rsid w:val="004B774C"/>
    <w:rsid w:val="005449DE"/>
    <w:rsid w:val="006751DF"/>
    <w:rsid w:val="00690342"/>
    <w:rsid w:val="00701D8F"/>
    <w:rsid w:val="007E69F8"/>
    <w:rsid w:val="00836D2B"/>
    <w:rsid w:val="0084399A"/>
    <w:rsid w:val="00854926"/>
    <w:rsid w:val="00882E0E"/>
    <w:rsid w:val="00A91223"/>
    <w:rsid w:val="00AD35D9"/>
    <w:rsid w:val="00AD6B87"/>
    <w:rsid w:val="00C00432"/>
    <w:rsid w:val="00C44063"/>
    <w:rsid w:val="00CC62CB"/>
    <w:rsid w:val="00CF44D5"/>
    <w:rsid w:val="00D1455B"/>
    <w:rsid w:val="00DE2321"/>
    <w:rsid w:val="00E14643"/>
    <w:rsid w:val="00F32194"/>
    <w:rsid w:val="00F4797B"/>
    <w:rsid w:val="00FD3F27"/>
    <w:rsid w:val="02A607A7"/>
    <w:rsid w:val="03A44884"/>
    <w:rsid w:val="03D4124E"/>
    <w:rsid w:val="04F769FD"/>
    <w:rsid w:val="059B7888"/>
    <w:rsid w:val="08F37F82"/>
    <w:rsid w:val="0AEE6F4E"/>
    <w:rsid w:val="0C53078F"/>
    <w:rsid w:val="128F3C47"/>
    <w:rsid w:val="15F324F3"/>
    <w:rsid w:val="174E268B"/>
    <w:rsid w:val="1837190D"/>
    <w:rsid w:val="186002D7"/>
    <w:rsid w:val="1E783228"/>
    <w:rsid w:val="1E992C88"/>
    <w:rsid w:val="1EEE5E7A"/>
    <w:rsid w:val="20A37C28"/>
    <w:rsid w:val="22907E39"/>
    <w:rsid w:val="237C1C21"/>
    <w:rsid w:val="27000E9E"/>
    <w:rsid w:val="29C73D4F"/>
    <w:rsid w:val="2A367DA2"/>
    <w:rsid w:val="2AF8003E"/>
    <w:rsid w:val="345420CB"/>
    <w:rsid w:val="38E33388"/>
    <w:rsid w:val="42FE5901"/>
    <w:rsid w:val="43121F9C"/>
    <w:rsid w:val="435F4D70"/>
    <w:rsid w:val="43FD5A74"/>
    <w:rsid w:val="45236695"/>
    <w:rsid w:val="48EC762A"/>
    <w:rsid w:val="499F2A58"/>
    <w:rsid w:val="4A347E1F"/>
    <w:rsid w:val="4A3C2ECC"/>
    <w:rsid w:val="4D6C4E63"/>
    <w:rsid w:val="4DE332C1"/>
    <w:rsid w:val="50005DCB"/>
    <w:rsid w:val="55BF2EC5"/>
    <w:rsid w:val="56847F8F"/>
    <w:rsid w:val="590D4418"/>
    <w:rsid w:val="5EFC6B26"/>
    <w:rsid w:val="66327884"/>
    <w:rsid w:val="68951C97"/>
    <w:rsid w:val="6E7E1C34"/>
    <w:rsid w:val="72902E4E"/>
    <w:rsid w:val="76505F51"/>
    <w:rsid w:val="7BEA3B68"/>
    <w:rsid w:val="7D4C6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9A"/>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84399A"/>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4399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4399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8439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399A"/>
    <w:rPr>
      <w:b/>
      <w:bCs/>
    </w:rPr>
  </w:style>
  <w:style w:type="character" w:styleId="a7">
    <w:name w:val="FollowedHyperlink"/>
    <w:basedOn w:val="a0"/>
    <w:uiPriority w:val="99"/>
    <w:semiHidden/>
    <w:unhideWhenUsed/>
    <w:qFormat/>
    <w:rsid w:val="0084399A"/>
    <w:rPr>
      <w:color w:val="444444"/>
      <w:u w:val="single"/>
    </w:rPr>
  </w:style>
  <w:style w:type="character" w:styleId="a8">
    <w:name w:val="Hyperlink"/>
    <w:basedOn w:val="a0"/>
    <w:uiPriority w:val="99"/>
    <w:semiHidden/>
    <w:unhideWhenUsed/>
    <w:qFormat/>
    <w:rsid w:val="0084399A"/>
    <w:rPr>
      <w:color w:val="0000FF"/>
      <w:u w:val="single"/>
    </w:rPr>
  </w:style>
  <w:style w:type="paragraph" w:customStyle="1" w:styleId="reader-word-layer">
    <w:name w:val="reader-word-layer"/>
    <w:basedOn w:val="a"/>
    <w:qFormat/>
    <w:rsid w:val="0084399A"/>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qFormat/>
    <w:rsid w:val="0084399A"/>
    <w:pPr>
      <w:widowControl/>
      <w:spacing w:before="100" w:beforeAutospacing="1" w:after="100" w:afterAutospacing="1"/>
      <w:jc w:val="left"/>
    </w:pPr>
    <w:rPr>
      <w:rFonts w:ascii="宋体" w:eastAsia="宋体" w:hAnsi="宋体" w:cs="宋体"/>
      <w:kern w:val="0"/>
      <w:sz w:val="24"/>
      <w:szCs w:val="24"/>
    </w:rPr>
  </w:style>
  <w:style w:type="character" w:customStyle="1" w:styleId="bsharetext">
    <w:name w:val="bsharetext"/>
    <w:basedOn w:val="a0"/>
    <w:qFormat/>
    <w:rsid w:val="0084399A"/>
  </w:style>
  <w:style w:type="character" w:customStyle="1" w:styleId="Char0">
    <w:name w:val="页眉 Char"/>
    <w:basedOn w:val="a0"/>
    <w:link w:val="a4"/>
    <w:uiPriority w:val="99"/>
    <w:semiHidden/>
    <w:qFormat/>
    <w:rsid w:val="0084399A"/>
    <w:rPr>
      <w:kern w:val="2"/>
      <w:sz w:val="18"/>
      <w:szCs w:val="18"/>
    </w:rPr>
  </w:style>
  <w:style w:type="character" w:customStyle="1" w:styleId="Char">
    <w:name w:val="页脚 Char"/>
    <w:basedOn w:val="a0"/>
    <w:link w:val="a3"/>
    <w:uiPriority w:val="99"/>
    <w:semiHidden/>
    <w:qFormat/>
    <w:rsid w:val="008439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wangxiao.cn/s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ngxiao.cn/ccbp/2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601</Words>
  <Characters>3428</Characters>
  <Application>Microsoft Office Word</Application>
  <DocSecurity>0</DocSecurity>
  <Lines>28</Lines>
  <Paragraphs>8</Paragraphs>
  <ScaleCrop>false</ScaleCrop>
  <Company>微软中国</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8</cp:revision>
  <cp:lastPrinted>2021-03-15T06:21:00Z</cp:lastPrinted>
  <dcterms:created xsi:type="dcterms:W3CDTF">2021-03-15T09:28:00Z</dcterms:created>
  <dcterms:modified xsi:type="dcterms:W3CDTF">2021-03-16T01:10:00Z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