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《龙港市农业水价综合改革用水价格的核定》征求意见稿</w:t>
      </w:r>
    </w:p>
    <w:bookmarkEnd w:id="0"/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动</w:t>
      </w:r>
      <w:r>
        <w:rPr>
          <w:rFonts w:hint="eastAsia" w:ascii="宋体" w:hAnsi="宋体" w:eastAsia="宋体" w:cs="宋体"/>
          <w:sz w:val="28"/>
          <w:szCs w:val="28"/>
        </w:rPr>
        <w:t>农业水价综合改革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工作的实施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加强农田水利工程的有效管护，落实灌区灌溉管理，</w:t>
      </w:r>
      <w:r>
        <w:rPr>
          <w:rFonts w:hint="eastAsia" w:ascii="宋体" w:hAnsi="宋体" w:eastAsia="宋体" w:cs="宋体"/>
          <w:sz w:val="28"/>
          <w:szCs w:val="28"/>
        </w:rPr>
        <w:t>促进节约用水，提高群众节水意识，实现农业“节水减排”。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特将《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龙港市</w:t>
      </w:r>
      <w:r>
        <w:rPr>
          <w:rFonts w:hint="eastAsia" w:ascii="宋体" w:hAnsi="宋体" w:eastAsia="宋体" w:cs="宋体"/>
          <w:sz w:val="28"/>
          <w:szCs w:val="28"/>
        </w:rPr>
        <w:t>农业水价综合改革实施方案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2020》测算的相关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农业用水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价格作如下核定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2"/>
        <w:numPr>
          <w:ilvl w:val="3"/>
          <w:numId w:val="0"/>
        </w:numPr>
        <w:spacing w:before="0" w:after="0" w:line="360" w:lineRule="auto"/>
        <w:ind w:left="403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sz w:val="30"/>
          <w:szCs w:val="30"/>
        </w:rPr>
        <w:t>执行水价</w:t>
      </w:r>
    </w:p>
    <w:p>
      <w:pPr>
        <w:ind w:firstLine="560" w:firstLineChars="200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根据相关文件精神，农业用水价格原则上应达到或逐步提高到运行维护成本水平，因此，执行水价按简单可行、操作方便、符合地方实际的原则提出。现由各典型灌片测算成本水价加权平均得出执行水价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为55.4元/亩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pStyle w:val="2"/>
        <w:numPr>
          <w:ilvl w:val="3"/>
          <w:numId w:val="0"/>
        </w:numPr>
        <w:spacing w:before="0" w:after="0" w:line="360" w:lineRule="auto"/>
        <w:ind w:left="403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  <w:t>分类水价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分类水价应体现不同用水类型的水价差异，根据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龙港市</w:t>
      </w:r>
      <w:r>
        <w:rPr>
          <w:rFonts w:hint="default" w:ascii="Times New Roman" w:hAnsi="Times New Roman" w:cs="Times New Roman"/>
          <w:sz w:val="28"/>
          <w:szCs w:val="28"/>
        </w:rPr>
        <w:t>主要作物类型，分类水价主要区别水稻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和番茄</w:t>
      </w:r>
      <w:r>
        <w:rPr>
          <w:rFonts w:hint="default" w:ascii="Times New Roman" w:hAnsi="Times New Roman" w:cs="Times New Roman"/>
          <w:sz w:val="28"/>
          <w:szCs w:val="28"/>
        </w:rPr>
        <w:t>等。分类水价计算见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下表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pStyle w:val="3"/>
        <w:jc w:val="center"/>
        <w:rPr>
          <w:rFonts w:hint="default" w:ascii="Times New Roman" w:hAnsi="Times New Roman" w:cs="Times New Roman"/>
          <w:b/>
          <w:szCs w:val="24"/>
          <w:lang w:val="en-US"/>
        </w:rPr>
      </w:pPr>
      <w:r>
        <w:rPr>
          <w:rFonts w:hint="default" w:ascii="Times New Roman" w:hAnsi="Times New Roman" w:cs="Times New Roman"/>
          <w:b/>
          <w:szCs w:val="24"/>
        </w:rPr>
        <w:t xml:space="preserve">  </w:t>
      </w:r>
      <w:r>
        <w:rPr>
          <w:rFonts w:hint="default" w:ascii="Times New Roman" w:hAnsi="Times New Roman" w:cs="Times New Roman"/>
          <w:b/>
          <w:szCs w:val="24"/>
          <w:lang w:val="en-US"/>
        </w:rPr>
        <w:t>分类水价计算结果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180"/>
        <w:gridCol w:w="1662"/>
        <w:gridCol w:w="231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作物种类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田间设施类型</w:t>
            </w:r>
          </w:p>
        </w:tc>
        <w:tc>
          <w:tcPr>
            <w:tcW w:w="14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成本水价（元/亩）</w:t>
            </w:r>
          </w:p>
        </w:tc>
        <w:tc>
          <w:tcPr>
            <w:tcW w:w="14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成本水价（元/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m³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水稻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渠道</w:t>
            </w:r>
          </w:p>
        </w:tc>
        <w:tc>
          <w:tcPr>
            <w:tcW w:w="14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56.7</w:t>
            </w:r>
          </w:p>
        </w:tc>
        <w:tc>
          <w:tcPr>
            <w:tcW w:w="14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番茄</w:t>
            </w:r>
          </w:p>
        </w:tc>
        <w:tc>
          <w:tcPr>
            <w:tcW w:w="76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管道</w:t>
            </w:r>
          </w:p>
        </w:tc>
        <w:tc>
          <w:tcPr>
            <w:tcW w:w="14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3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0.57</w:t>
            </w:r>
          </w:p>
        </w:tc>
      </w:tr>
    </w:tbl>
    <w:p>
      <w:pPr>
        <w:pStyle w:val="2"/>
        <w:numPr>
          <w:ilvl w:val="3"/>
          <w:numId w:val="0"/>
        </w:numPr>
        <w:spacing w:before="0" w:after="0" w:line="360" w:lineRule="auto"/>
        <w:ind w:left="403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三、分档水价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根据经济社会发展水平和农民群众承受能力，定额外灌溉用水价格按累进加价幅度分为三个阶梯，阶梯幅度设定为超定额</w:t>
      </w:r>
      <w:r>
        <w:rPr>
          <w:rFonts w:hint="default" w:ascii="Times New Roman" w:hAnsi="Times New Roman" w:cs="Times New Roman"/>
          <w:sz w:val="28"/>
          <w:szCs w:val="28"/>
        </w:rPr>
        <w:t>1</w:t>
      </w:r>
      <w:r>
        <w:rPr>
          <w:rFonts w:hint="eastAsia" w:ascii="Times New Roman" w:hAnsi="Times New Roman" w:cs="Times New Roman"/>
          <w:sz w:val="28"/>
          <w:szCs w:val="28"/>
        </w:rPr>
        <w:t>0.0%</w:t>
      </w:r>
      <w:r>
        <w:rPr>
          <w:rFonts w:hint="default" w:ascii="Times New Roman" w:hAnsi="Times New Roman" w:cs="Times New Roman"/>
          <w:sz w:val="28"/>
          <w:szCs w:val="28"/>
        </w:rPr>
        <w:t>以内</w:t>
      </w:r>
      <w:r>
        <w:rPr>
          <w:rFonts w:hint="eastAsia" w:ascii="Times New Roman" w:hAnsi="Times New Roman" w:cs="Times New Roman"/>
          <w:sz w:val="28"/>
          <w:szCs w:val="28"/>
        </w:rPr>
        <w:t>（含</w:t>
      </w:r>
      <w:r>
        <w:rPr>
          <w:rFonts w:hint="default" w:ascii="Times New Roman" w:hAnsi="Times New Roman" w:cs="Times New Roman"/>
          <w:sz w:val="28"/>
          <w:szCs w:val="28"/>
        </w:rPr>
        <w:t>1</w:t>
      </w:r>
      <w:r>
        <w:rPr>
          <w:rFonts w:hint="eastAsia" w:ascii="Times New Roman" w:hAnsi="Times New Roman" w:cs="Times New Roman"/>
          <w:sz w:val="28"/>
          <w:szCs w:val="28"/>
        </w:rPr>
        <w:t>0%）、</w:t>
      </w:r>
      <w:r>
        <w:rPr>
          <w:rFonts w:hint="default" w:ascii="Times New Roman" w:hAnsi="Times New Roman" w:cs="Times New Roman"/>
          <w:sz w:val="28"/>
          <w:szCs w:val="28"/>
        </w:rPr>
        <w:t>10%~30%</w:t>
      </w:r>
      <w:r>
        <w:rPr>
          <w:rFonts w:hint="eastAsia" w:ascii="Times New Roman" w:hAnsi="Times New Roman" w:cs="Times New Roman"/>
          <w:sz w:val="28"/>
          <w:szCs w:val="28"/>
        </w:rPr>
        <w:t>（含</w:t>
      </w:r>
      <w:r>
        <w:rPr>
          <w:rFonts w:hint="default" w:ascii="Times New Roman" w:hAnsi="Times New Roman" w:cs="Times New Roman"/>
          <w:sz w:val="28"/>
          <w:szCs w:val="28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0%）和</w:t>
      </w:r>
      <w:r>
        <w:rPr>
          <w:rFonts w:hint="default" w:ascii="Times New Roman" w:hAnsi="Times New Roman" w:cs="Times New Roman"/>
          <w:sz w:val="28"/>
          <w:szCs w:val="28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0%以上三个档次，对应水价为成本水价的1.</w:t>
      </w:r>
      <w:r>
        <w:rPr>
          <w:rFonts w:hint="default" w:ascii="Times New Roman" w:hAnsi="Times New Roman" w:cs="Times New Roman"/>
          <w:sz w:val="28"/>
          <w:szCs w:val="28"/>
        </w:rPr>
        <w:t>0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hint="default" w:ascii="Times New Roman" w:hAnsi="Times New Roman" w:cs="Times New Roman"/>
          <w:sz w:val="28"/>
          <w:szCs w:val="28"/>
        </w:rPr>
        <w:t>1.2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hint="default" w:ascii="Times New Roman" w:hAnsi="Times New Roman" w:cs="Times New Roman"/>
          <w:sz w:val="28"/>
          <w:szCs w:val="28"/>
        </w:rPr>
        <w:t>1.5</w:t>
      </w:r>
      <w:r>
        <w:rPr>
          <w:rFonts w:hint="eastAsia" w:ascii="Times New Roman" w:hAnsi="Times New Roman" w:cs="Times New Roman"/>
          <w:sz w:val="28"/>
          <w:szCs w:val="28"/>
        </w:rPr>
        <w:t>倍。超额幅度与用水量考核直接相关，与精准补贴资金挂钩。详见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下表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pStyle w:val="3"/>
        <w:jc w:val="center"/>
        <w:rPr>
          <w:rFonts w:hint="default" w:ascii="Times New Roman" w:hAnsi="Times New Roman" w:cs="Times New Roman"/>
          <w:b/>
          <w:szCs w:val="24"/>
        </w:rPr>
      </w:pPr>
      <w:r>
        <w:rPr>
          <w:rFonts w:hint="eastAsia" w:ascii="Times New Roman" w:hAnsi="Times New Roman" w:cs="Times New Roman"/>
          <w:b/>
          <w:szCs w:val="24"/>
        </w:rPr>
        <w:t>超定额灌溉用水阶梯标准表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8"/>
        <w:gridCol w:w="3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用水量阶梯</w:t>
            </w:r>
          </w:p>
        </w:tc>
        <w:tc>
          <w:tcPr>
            <w:tcW w:w="20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水价阶梯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超定额10%以内（含10%）</w:t>
            </w:r>
          </w:p>
        </w:tc>
        <w:tc>
          <w:tcPr>
            <w:tcW w:w="20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定额内水价×1.0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超定额10%~30%（含30%）</w:t>
            </w:r>
          </w:p>
        </w:tc>
        <w:tc>
          <w:tcPr>
            <w:tcW w:w="20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定额内水价×1.2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超定额30%以上</w:t>
            </w:r>
          </w:p>
        </w:tc>
        <w:tc>
          <w:tcPr>
            <w:tcW w:w="20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定额内水价×1.5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8417"/>
    <w:multiLevelType w:val="multilevel"/>
    <w:tmpl w:val="594E841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2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13405"/>
    <w:rsid w:val="394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autoSpaceDE w:val="0"/>
      <w:autoSpaceDN w:val="0"/>
      <w:adjustRightInd w:val="0"/>
      <w:spacing w:line="360" w:lineRule="auto"/>
    </w:pPr>
    <w:rPr>
      <w:rFonts w:ascii="宋体" w:hAnsi="Times New Roman" w:eastAsia="宋体" w:cs="Times New Roman"/>
      <w:sz w:val="24"/>
      <w:lang w:val="zh-CN"/>
    </w:rPr>
  </w:style>
  <w:style w:type="paragraph" w:styleId="4">
    <w:name w:val="Body Text First Indent"/>
    <w:basedOn w:val="3"/>
    <w:unhideWhenUsed/>
    <w:qFormat/>
    <w:uiPriority w:val="99"/>
    <w:pPr>
      <w:autoSpaceDE/>
      <w:autoSpaceDN/>
      <w:adjustRightInd/>
      <w:spacing w:after="120"/>
      <w:ind w:firstLine="420" w:firstLineChars="100"/>
    </w:pPr>
    <w:rPr>
      <w:rFonts w:asciiTheme="minorHAnsi" w:hAnsiTheme="minorHAnsi" w:cstheme="minorBidi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2020-11-12T09:15:00Z</dcterms:created>
  <dc:creator>龙港市农业农村局</dc:creator>
  <cp:lastModifiedBy>龙港市农业农村局</cp:lastModifiedBy>
  <dcterms:modified xsi:type="dcterms:W3CDTF">2020-11-12T09:16:33Z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