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AB" w:rsidRDefault="00C33CAB">
      <w:pPr>
        <w:jc w:val="center"/>
        <w:rPr>
          <w:rFonts w:ascii="方正小标宋简体" w:eastAsia="方正小标宋简体" w:hAnsi="方正小标宋简体" w:cs="方正小标宋简体"/>
          <w:color w:val="000000"/>
          <w:sz w:val="44"/>
          <w:szCs w:val="44"/>
        </w:rPr>
      </w:pPr>
    </w:p>
    <w:p w:rsidR="00C33CAB" w:rsidRDefault="00C33CAB">
      <w:pPr>
        <w:jc w:val="center"/>
        <w:rPr>
          <w:rFonts w:ascii="方正小标宋简体" w:eastAsia="方正小标宋简体" w:hAnsi="方正小标宋简体" w:cs="方正小标宋简体"/>
          <w:color w:val="000000"/>
          <w:sz w:val="44"/>
          <w:szCs w:val="44"/>
        </w:rPr>
      </w:pPr>
    </w:p>
    <w:p w:rsidR="00C33CAB" w:rsidRDefault="00C33CAB">
      <w:pPr>
        <w:jc w:val="center"/>
        <w:rPr>
          <w:rFonts w:ascii="方正小标宋简体" w:eastAsia="方正小标宋简体" w:hAnsi="方正小标宋简体" w:cs="方正小标宋简体"/>
          <w:color w:val="000000"/>
          <w:sz w:val="44"/>
          <w:szCs w:val="44"/>
        </w:rPr>
      </w:pPr>
    </w:p>
    <w:p w:rsidR="00C33CAB" w:rsidRDefault="00C33CAB">
      <w:pPr>
        <w:jc w:val="center"/>
        <w:rPr>
          <w:rFonts w:ascii="方正小标宋简体" w:eastAsia="方正小标宋简体" w:hAnsi="方正小标宋简体" w:cs="方正小标宋简体"/>
          <w:color w:val="000000"/>
          <w:sz w:val="44"/>
          <w:szCs w:val="44"/>
        </w:rPr>
      </w:pPr>
    </w:p>
    <w:p w:rsidR="00C33CAB" w:rsidRDefault="005425AB">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中共龙港市委市政府办公室</w:t>
      </w:r>
    </w:p>
    <w:p w:rsidR="00C33CAB" w:rsidRDefault="005425AB">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关于印发《龙港市人民调解“以奖代补”</w:t>
      </w:r>
      <w:r>
        <w:rPr>
          <w:rFonts w:ascii="方正小标宋简体" w:eastAsia="方正小标宋简体" w:hAnsi="方正小标宋简体" w:cs="方正小标宋简体" w:hint="eastAsia"/>
          <w:color w:val="000000"/>
          <w:sz w:val="44"/>
          <w:szCs w:val="44"/>
        </w:rPr>
        <w:t xml:space="preserve">     </w:t>
      </w:r>
      <w:r>
        <w:rPr>
          <w:rFonts w:ascii="方正小标宋简体" w:eastAsia="方正小标宋简体" w:hAnsi="方正小标宋简体" w:cs="方正小标宋简体" w:hint="eastAsia"/>
          <w:color w:val="000000"/>
          <w:sz w:val="44"/>
          <w:szCs w:val="44"/>
        </w:rPr>
        <w:t>实施细则（试行）》的通知</w:t>
      </w:r>
    </w:p>
    <w:p w:rsidR="00C33CAB" w:rsidRDefault="00C33CAB">
      <w:pPr>
        <w:rPr>
          <w:rFonts w:ascii="仿宋_GB2312" w:hAnsi="仿宋" w:cs="仿宋"/>
          <w:color w:val="000000"/>
          <w:szCs w:val="32"/>
        </w:rPr>
      </w:pPr>
    </w:p>
    <w:p w:rsidR="00C33CAB" w:rsidRDefault="005425AB">
      <w:pPr>
        <w:rPr>
          <w:rFonts w:ascii="仿宋_GB2312" w:hAnsi="仿宋" w:cs="仿宋"/>
          <w:color w:val="000000"/>
          <w:szCs w:val="32"/>
        </w:rPr>
      </w:pPr>
      <w:r>
        <w:rPr>
          <w:rFonts w:ascii="仿宋_GB2312" w:hAnsi="仿宋" w:cs="仿宋" w:hint="eastAsia"/>
          <w:color w:val="000000"/>
          <w:szCs w:val="32"/>
        </w:rPr>
        <w:t>各社区联合党委，市直各单位：</w:t>
      </w:r>
    </w:p>
    <w:p w:rsidR="00C33CAB" w:rsidRDefault="005425AB">
      <w:pPr>
        <w:widowControl/>
        <w:shd w:val="clear" w:color="auto" w:fill="FFFFFF"/>
        <w:tabs>
          <w:tab w:val="left" w:pos="7513"/>
        </w:tabs>
        <w:snapToGrid w:val="0"/>
        <w:spacing w:line="576" w:lineRule="exact"/>
        <w:ind w:firstLineChars="200" w:firstLine="640"/>
        <w:rPr>
          <w:rFonts w:ascii="仿宋_GB2312" w:hAnsi="仿宋_GB2312" w:cs="仿宋_GB2312"/>
          <w:color w:val="000000"/>
          <w:kern w:val="0"/>
          <w:szCs w:val="32"/>
          <w:shd w:val="clear" w:color="auto" w:fill="FFFFFF"/>
        </w:rPr>
      </w:pPr>
      <w:r>
        <w:rPr>
          <w:rFonts w:ascii="仿宋_GB2312" w:hAnsi="仿宋_GB2312" w:cs="仿宋_GB2312" w:hint="eastAsia"/>
          <w:color w:val="000000"/>
          <w:kern w:val="0"/>
          <w:szCs w:val="32"/>
          <w:shd w:val="clear" w:color="auto" w:fill="FFFFFF"/>
        </w:rPr>
        <w:t>《龙港市人民调解“以奖代补”实施细则（试行）》已经市政府会议审议通过。现印发给你们，请遵照执行。</w:t>
      </w:r>
    </w:p>
    <w:p w:rsidR="00C33CAB" w:rsidRDefault="00C33CAB">
      <w:pPr>
        <w:ind w:firstLineChars="200" w:firstLine="640"/>
        <w:rPr>
          <w:rFonts w:ascii="仿宋_GB2312" w:hAnsi="仿宋" w:cs="仿宋"/>
          <w:color w:val="000000"/>
          <w:szCs w:val="32"/>
        </w:rPr>
      </w:pPr>
    </w:p>
    <w:p w:rsidR="00C33CAB" w:rsidRDefault="00C33CAB">
      <w:pPr>
        <w:ind w:firstLineChars="200" w:firstLine="640"/>
        <w:rPr>
          <w:rFonts w:ascii="仿宋_GB2312" w:hAnsi="仿宋" w:cs="仿宋"/>
          <w:color w:val="000000"/>
          <w:szCs w:val="32"/>
        </w:rPr>
      </w:pPr>
    </w:p>
    <w:p w:rsidR="00C33CAB" w:rsidRDefault="00C33CAB">
      <w:pPr>
        <w:ind w:firstLineChars="200" w:firstLine="640"/>
        <w:rPr>
          <w:rFonts w:ascii="仿宋_GB2312" w:hAnsi="仿宋" w:cs="仿宋"/>
          <w:color w:val="000000"/>
          <w:szCs w:val="32"/>
        </w:rPr>
      </w:pPr>
    </w:p>
    <w:p w:rsidR="00C33CAB" w:rsidRDefault="00C33CAB">
      <w:pPr>
        <w:ind w:firstLineChars="200" w:firstLine="640"/>
        <w:rPr>
          <w:rFonts w:ascii="仿宋_GB2312" w:hAnsi="仿宋" w:cs="仿宋"/>
          <w:color w:val="000000"/>
          <w:szCs w:val="32"/>
        </w:rPr>
      </w:pPr>
    </w:p>
    <w:p w:rsidR="00C33CAB" w:rsidRDefault="005425AB">
      <w:pPr>
        <w:ind w:firstLineChars="1250" w:firstLine="4000"/>
        <w:rPr>
          <w:rFonts w:ascii="仿宋_GB2312" w:hAnsi="仿宋" w:cs="仿宋"/>
          <w:color w:val="000000"/>
          <w:szCs w:val="32"/>
        </w:rPr>
      </w:pPr>
      <w:r>
        <w:rPr>
          <w:rFonts w:ascii="仿宋_GB2312" w:hAnsi="仿宋" w:cs="仿宋" w:hint="eastAsia"/>
          <w:color w:val="000000"/>
          <w:szCs w:val="32"/>
        </w:rPr>
        <w:t>中共龙港市委市政府办公室</w:t>
      </w:r>
    </w:p>
    <w:p w:rsidR="00C33CAB" w:rsidRDefault="005425AB">
      <w:pPr>
        <w:ind w:firstLineChars="1650" w:firstLine="5280"/>
        <w:rPr>
          <w:rFonts w:ascii="仿宋_GB2312" w:hAnsi="仿宋" w:cs="仿宋"/>
          <w:color w:val="000000"/>
          <w:szCs w:val="32"/>
        </w:rPr>
      </w:pPr>
      <w:r>
        <w:rPr>
          <w:rFonts w:ascii="仿宋_GB2312" w:hAnsi="仿宋" w:cs="仿宋" w:hint="eastAsia"/>
          <w:color w:val="000000"/>
          <w:szCs w:val="32"/>
        </w:rPr>
        <w:t>2021</w:t>
      </w:r>
      <w:r>
        <w:rPr>
          <w:rFonts w:ascii="仿宋_GB2312" w:hAnsi="仿宋" w:cs="仿宋" w:hint="eastAsia"/>
          <w:color w:val="000000"/>
          <w:szCs w:val="32"/>
        </w:rPr>
        <w:t>年</w:t>
      </w:r>
      <w:r>
        <w:rPr>
          <w:rFonts w:ascii="仿宋_GB2312" w:hAnsi="仿宋" w:cs="仿宋" w:hint="eastAsia"/>
          <w:color w:val="000000"/>
          <w:szCs w:val="32"/>
        </w:rPr>
        <w:t>8</w:t>
      </w:r>
      <w:r>
        <w:rPr>
          <w:rFonts w:ascii="仿宋_GB2312" w:hAnsi="仿宋" w:cs="仿宋" w:hint="eastAsia"/>
          <w:color w:val="000000"/>
          <w:szCs w:val="32"/>
        </w:rPr>
        <w:t>月</w:t>
      </w:r>
      <w:r>
        <w:rPr>
          <w:rFonts w:ascii="仿宋_GB2312" w:hAnsi="仿宋" w:cs="仿宋" w:hint="eastAsia"/>
          <w:color w:val="000000"/>
          <w:szCs w:val="32"/>
        </w:rPr>
        <w:t>5</w:t>
      </w:r>
      <w:r>
        <w:rPr>
          <w:rFonts w:ascii="仿宋_GB2312" w:hAnsi="仿宋" w:cs="仿宋" w:hint="eastAsia"/>
          <w:color w:val="000000"/>
          <w:szCs w:val="32"/>
        </w:rPr>
        <w:t>日</w:t>
      </w:r>
    </w:p>
    <w:p w:rsidR="00C33CAB" w:rsidRDefault="00C33CAB">
      <w:pPr>
        <w:ind w:firstLineChars="200" w:firstLine="640"/>
        <w:rPr>
          <w:rFonts w:ascii="仿宋_GB2312" w:hAnsi="仿宋" w:cs="仿宋"/>
          <w:color w:val="000000"/>
          <w:szCs w:val="32"/>
        </w:rPr>
      </w:pPr>
    </w:p>
    <w:p w:rsidR="00C33CAB" w:rsidRDefault="00C33CAB">
      <w:pPr>
        <w:rPr>
          <w:rFonts w:ascii="方正小标宋简体" w:eastAsia="方正小标宋简体" w:hAnsi="方正小标宋简体" w:cs="方正小标宋简体"/>
          <w:color w:val="000000"/>
          <w:w w:val="88"/>
          <w:sz w:val="44"/>
          <w:szCs w:val="44"/>
        </w:rPr>
      </w:pPr>
    </w:p>
    <w:p w:rsidR="00C33CAB" w:rsidRDefault="00C33CAB">
      <w:pPr>
        <w:rPr>
          <w:rFonts w:ascii="方正小标宋简体" w:eastAsia="方正小标宋简体" w:hAnsi="方正小标宋简体" w:cs="方正小标宋简体"/>
          <w:color w:val="000000"/>
          <w:w w:val="88"/>
          <w:sz w:val="44"/>
          <w:szCs w:val="44"/>
        </w:rPr>
      </w:pPr>
    </w:p>
    <w:p w:rsidR="00C33CAB" w:rsidRDefault="00C33CAB">
      <w:pPr>
        <w:rPr>
          <w:rFonts w:ascii="方正小标宋简体" w:eastAsia="方正小标宋简体" w:hAnsi="方正小标宋简体" w:cs="方正小标宋简体"/>
          <w:color w:val="000000"/>
          <w:w w:val="88"/>
          <w:sz w:val="44"/>
          <w:szCs w:val="44"/>
        </w:rPr>
      </w:pPr>
    </w:p>
    <w:p w:rsidR="00C33CAB" w:rsidRDefault="00C33CAB">
      <w:pPr>
        <w:rPr>
          <w:rFonts w:ascii="方正小标宋简体" w:eastAsia="方正小标宋简体" w:hAnsi="方正小标宋简体" w:cs="方正小标宋简体"/>
          <w:color w:val="000000"/>
          <w:w w:val="88"/>
          <w:sz w:val="44"/>
          <w:szCs w:val="44"/>
        </w:rPr>
      </w:pPr>
    </w:p>
    <w:p w:rsidR="00C33CAB" w:rsidRDefault="005425AB">
      <w:pPr>
        <w:spacing w:line="560" w:lineRule="exact"/>
        <w:jc w:val="center"/>
        <w:rPr>
          <w:rFonts w:ascii="仿宋" w:eastAsia="仿宋" w:hAnsi="仿宋"/>
          <w:color w:val="000000"/>
          <w:szCs w:val="32"/>
        </w:rPr>
      </w:pPr>
      <w:r>
        <w:rPr>
          <w:rFonts w:ascii="方正小标宋简体" w:eastAsia="方正小标宋简体" w:hAnsi="方正小标宋简体" w:cs="方正小标宋简体" w:hint="eastAsia"/>
          <w:color w:val="000000"/>
          <w:sz w:val="44"/>
          <w:szCs w:val="44"/>
        </w:rPr>
        <w:t>龙港市人民调解“以奖代补”实施细则</w:t>
      </w:r>
      <w:r>
        <w:rPr>
          <w:rFonts w:ascii="方正小标宋简体" w:eastAsia="方正小标宋简体" w:hint="eastAsia"/>
          <w:spacing w:val="-10"/>
          <w:sz w:val="44"/>
          <w:szCs w:val="44"/>
        </w:rPr>
        <w:t>（试行）</w:t>
      </w:r>
    </w:p>
    <w:p w:rsidR="00C33CAB" w:rsidRDefault="005425AB">
      <w:pPr>
        <w:spacing w:line="560" w:lineRule="exact"/>
        <w:jc w:val="left"/>
        <w:rPr>
          <w:rFonts w:ascii="仿宋_GB2312" w:hAnsi="仿宋" w:cs="仿宋"/>
          <w:color w:val="000000"/>
          <w:szCs w:val="32"/>
        </w:rPr>
      </w:pPr>
      <w:r>
        <w:rPr>
          <w:rFonts w:ascii="仿宋_GB2312" w:hAnsi="仿宋" w:cs="仿宋" w:hint="eastAsia"/>
          <w:color w:val="000000"/>
          <w:szCs w:val="32"/>
        </w:rPr>
        <w:t xml:space="preserve">    </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为进一步加强和推进新时代基层人民调解工作的有效开展，充分调动人民调解员的工作积极性，努力将矛盾纠纷化解在基层，筑牢维护社会和谐稳定的第一道防线，根据财政部、司法部《关于进一步加强人民调解工作经费保障的意见》（</w:t>
      </w:r>
      <w:proofErr w:type="gramStart"/>
      <w:r>
        <w:rPr>
          <w:rFonts w:ascii="仿宋_GB2312" w:hAnsi="仿宋" w:cs="仿宋" w:hint="eastAsia"/>
          <w:color w:val="000000"/>
          <w:szCs w:val="32"/>
        </w:rPr>
        <w:t>财行〔</w:t>
      </w:r>
      <w:r>
        <w:rPr>
          <w:rFonts w:ascii="仿宋_GB2312" w:hAnsi="仿宋" w:cs="仿宋" w:hint="eastAsia"/>
          <w:color w:val="000000"/>
          <w:szCs w:val="32"/>
        </w:rPr>
        <w:t>2007</w:t>
      </w:r>
      <w:r>
        <w:rPr>
          <w:rFonts w:ascii="仿宋_GB2312" w:hAnsi="仿宋" w:cs="仿宋" w:hint="eastAsia"/>
          <w:color w:val="000000"/>
          <w:szCs w:val="32"/>
        </w:rPr>
        <w:t>〕</w:t>
      </w:r>
      <w:proofErr w:type="gramEnd"/>
      <w:r>
        <w:rPr>
          <w:rFonts w:ascii="仿宋_GB2312" w:hAnsi="仿宋" w:cs="仿宋" w:hint="eastAsia"/>
          <w:color w:val="000000"/>
          <w:szCs w:val="32"/>
        </w:rPr>
        <w:t>179</w:t>
      </w:r>
      <w:r>
        <w:rPr>
          <w:rFonts w:ascii="仿宋_GB2312" w:hAnsi="仿宋" w:cs="仿宋" w:hint="eastAsia"/>
          <w:color w:val="000000"/>
          <w:szCs w:val="32"/>
        </w:rPr>
        <w:t>号）、</w:t>
      </w:r>
      <w:r>
        <w:rPr>
          <w:rFonts w:ascii="仿宋_GB2312" w:hAnsi="仿宋_GB2312" w:cs="仿宋_GB2312" w:hint="eastAsia"/>
          <w:kern w:val="0"/>
          <w:szCs w:val="32"/>
        </w:rPr>
        <w:t>省委办公厅</w:t>
      </w:r>
      <w:r>
        <w:rPr>
          <w:rFonts w:ascii="仿宋_GB2312" w:hAnsi="仿宋_GB2312" w:cs="仿宋_GB2312" w:hint="eastAsia"/>
          <w:kern w:val="0"/>
          <w:szCs w:val="32"/>
        </w:rPr>
        <w:t xml:space="preserve"> </w:t>
      </w:r>
      <w:r>
        <w:rPr>
          <w:rFonts w:ascii="仿宋_GB2312" w:hAnsi="仿宋_GB2312" w:cs="仿宋_GB2312" w:hint="eastAsia"/>
          <w:kern w:val="0"/>
          <w:szCs w:val="32"/>
        </w:rPr>
        <w:t>省人民政府办公厅印发《关于加强新时代调解工作的若干意见》（浙委办发）〔</w:t>
      </w:r>
      <w:r>
        <w:rPr>
          <w:rFonts w:ascii="仿宋_GB2312" w:hAnsi="仿宋_GB2312" w:cs="仿宋_GB2312" w:hint="eastAsia"/>
          <w:kern w:val="0"/>
          <w:szCs w:val="32"/>
        </w:rPr>
        <w:t>2020</w:t>
      </w:r>
      <w:r>
        <w:rPr>
          <w:rFonts w:ascii="仿宋_GB2312" w:hAnsi="仿宋_GB2312" w:cs="仿宋_GB2312" w:hint="eastAsia"/>
          <w:kern w:val="0"/>
          <w:szCs w:val="32"/>
        </w:rPr>
        <w:t>〕</w:t>
      </w:r>
      <w:r>
        <w:rPr>
          <w:rFonts w:ascii="仿宋_GB2312" w:hAnsi="仿宋_GB2312" w:cs="仿宋_GB2312" w:hint="eastAsia"/>
          <w:kern w:val="0"/>
          <w:szCs w:val="32"/>
        </w:rPr>
        <w:t>34</w:t>
      </w:r>
      <w:r>
        <w:rPr>
          <w:rFonts w:ascii="仿宋_GB2312" w:hAnsi="仿宋_GB2312" w:cs="仿宋_GB2312" w:hint="eastAsia"/>
          <w:kern w:val="0"/>
          <w:szCs w:val="32"/>
        </w:rPr>
        <w:t>号）</w:t>
      </w:r>
      <w:r>
        <w:rPr>
          <w:rFonts w:ascii="仿宋_GB2312" w:hAnsi="仿宋" w:cs="仿宋" w:hint="eastAsia"/>
          <w:color w:val="000000"/>
          <w:szCs w:val="32"/>
        </w:rPr>
        <w:t>和温州市委办公室、温州市政府办公室《关于进一步加强人民调解工作的意见》（温委办发〔</w:t>
      </w:r>
      <w:r>
        <w:rPr>
          <w:rFonts w:ascii="仿宋_GB2312" w:hAnsi="仿宋" w:cs="仿宋" w:hint="eastAsia"/>
          <w:color w:val="000000"/>
          <w:szCs w:val="32"/>
        </w:rPr>
        <w:t>2015</w:t>
      </w:r>
      <w:r>
        <w:rPr>
          <w:rFonts w:ascii="仿宋_GB2312" w:hAnsi="仿宋" w:cs="仿宋" w:hint="eastAsia"/>
          <w:color w:val="000000"/>
          <w:szCs w:val="32"/>
        </w:rPr>
        <w:t>〕</w:t>
      </w:r>
      <w:r>
        <w:rPr>
          <w:rFonts w:ascii="仿宋_GB2312" w:hAnsi="仿宋" w:cs="仿宋" w:hint="eastAsia"/>
          <w:color w:val="000000"/>
          <w:szCs w:val="32"/>
        </w:rPr>
        <w:t>99</w:t>
      </w:r>
      <w:r>
        <w:rPr>
          <w:rFonts w:ascii="仿宋_GB2312" w:hAnsi="仿宋" w:cs="仿宋" w:hint="eastAsia"/>
          <w:color w:val="000000"/>
          <w:szCs w:val="32"/>
        </w:rPr>
        <w:t>号）等文件精神，特制定本实施细则。</w:t>
      </w:r>
    </w:p>
    <w:p w:rsidR="00C33CAB" w:rsidRDefault="005425AB">
      <w:pPr>
        <w:spacing w:line="560" w:lineRule="exact"/>
        <w:jc w:val="center"/>
        <w:rPr>
          <w:rFonts w:ascii="仿宋_GB2312" w:hAnsi="仿宋" w:cs="仿宋"/>
          <w:color w:val="000000"/>
          <w:szCs w:val="32"/>
        </w:rPr>
      </w:pPr>
      <w:r>
        <w:rPr>
          <w:rFonts w:ascii="黑体" w:eastAsia="黑体" w:hAnsi="黑体" w:cs="黑体" w:hint="eastAsia"/>
          <w:color w:val="000000"/>
          <w:szCs w:val="32"/>
        </w:rPr>
        <w:t>第一章</w:t>
      </w:r>
      <w:r>
        <w:rPr>
          <w:rFonts w:ascii="黑体" w:eastAsia="黑体" w:hAnsi="黑体" w:cs="黑体" w:hint="eastAsia"/>
          <w:color w:val="000000"/>
          <w:szCs w:val="32"/>
        </w:rPr>
        <w:t xml:space="preserve">  </w:t>
      </w:r>
      <w:r>
        <w:rPr>
          <w:rFonts w:ascii="黑体" w:eastAsia="黑体" w:hAnsi="黑体" w:cs="黑体" w:hint="eastAsia"/>
          <w:color w:val="000000"/>
          <w:szCs w:val="32"/>
        </w:rPr>
        <w:t>总则</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第一条</w:t>
      </w:r>
      <w:r>
        <w:rPr>
          <w:rFonts w:ascii="仿宋_GB2312" w:hAnsi="仿宋" w:cs="仿宋" w:hint="eastAsia"/>
          <w:color w:val="000000"/>
          <w:szCs w:val="32"/>
        </w:rPr>
        <w:t xml:space="preserve"> </w:t>
      </w:r>
      <w:r>
        <w:rPr>
          <w:rFonts w:ascii="仿宋_GB2312" w:hAnsi="仿宋" w:cs="仿宋" w:hint="eastAsia"/>
          <w:color w:val="000000"/>
          <w:szCs w:val="32"/>
        </w:rPr>
        <w:t>本办法所称人民调解，是指依法设立的人民调解组织在矛盾纠纷当事人自愿平等且不违背法律、法规和政策基础上进行调解，对矛盾纠纷当事人进行说服教育，规劝疏导，促使矛盾纠纷当事人相互谅解，自愿达成协议，从而消除纷争的活动。</w:t>
      </w:r>
    </w:p>
    <w:p w:rsidR="00C33CAB" w:rsidRDefault="005425AB">
      <w:pPr>
        <w:spacing w:line="560" w:lineRule="exact"/>
        <w:ind w:firstLineChars="200" w:firstLine="640"/>
        <w:jc w:val="center"/>
        <w:rPr>
          <w:rFonts w:ascii="黑体" w:eastAsia="黑体" w:hAnsi="黑体" w:cs="黑体"/>
          <w:color w:val="000000"/>
          <w:szCs w:val="32"/>
        </w:rPr>
      </w:pPr>
      <w:r>
        <w:rPr>
          <w:rFonts w:ascii="黑体" w:eastAsia="黑体" w:hAnsi="黑体" w:cs="黑体" w:hint="eastAsia"/>
          <w:color w:val="000000"/>
          <w:szCs w:val="32"/>
        </w:rPr>
        <w:t>第二章</w:t>
      </w:r>
      <w:r>
        <w:rPr>
          <w:rFonts w:ascii="黑体" w:eastAsia="黑体" w:hAnsi="黑体" w:cs="黑体" w:hint="eastAsia"/>
          <w:color w:val="000000"/>
          <w:szCs w:val="32"/>
        </w:rPr>
        <w:t xml:space="preserve">  </w:t>
      </w:r>
      <w:r>
        <w:rPr>
          <w:rFonts w:ascii="黑体" w:eastAsia="黑体" w:hAnsi="黑体" w:cs="黑体" w:hint="eastAsia"/>
          <w:color w:val="000000"/>
          <w:szCs w:val="32"/>
        </w:rPr>
        <w:t>奖励范围</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第二条</w:t>
      </w:r>
      <w:r>
        <w:rPr>
          <w:rFonts w:ascii="仿宋_GB2312" w:hAnsi="仿宋" w:cs="仿宋" w:hint="eastAsia"/>
          <w:color w:val="000000"/>
          <w:szCs w:val="32"/>
        </w:rPr>
        <w:t xml:space="preserve">  </w:t>
      </w:r>
      <w:r>
        <w:rPr>
          <w:rFonts w:ascii="仿宋_GB2312" w:hAnsi="仿宋" w:cs="仿宋" w:hint="eastAsia"/>
          <w:color w:val="000000"/>
          <w:szCs w:val="32"/>
        </w:rPr>
        <w:t>奖励范围包括：</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（一）市行业性、专业性、社区等人民调解组织调处矛盾纠纷的计件奖励；</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（二）市行业性、专业性、社区等人民调解组织完成人</w:t>
      </w:r>
      <w:r>
        <w:rPr>
          <w:rFonts w:ascii="仿宋_GB2312" w:hAnsi="仿宋" w:cs="仿宋" w:hint="eastAsia"/>
          <w:color w:val="000000"/>
          <w:szCs w:val="32"/>
        </w:rPr>
        <w:lastRenderedPageBreak/>
        <w:t>民调解典型案例申报录用的计件奖励；</w:t>
      </w:r>
    </w:p>
    <w:p w:rsidR="00C33CAB" w:rsidRDefault="005425AB">
      <w:pPr>
        <w:spacing w:line="560" w:lineRule="exact"/>
        <w:ind w:firstLineChars="200" w:firstLine="640"/>
        <w:jc w:val="left"/>
        <w:rPr>
          <w:rFonts w:ascii="仿宋_GB2312" w:hAnsi="仿宋" w:cs="仿宋"/>
          <w:color w:val="000000"/>
          <w:szCs w:val="32"/>
        </w:rPr>
      </w:pPr>
      <w:r>
        <w:rPr>
          <w:rFonts w:ascii="仿宋_GB2312" w:hAnsi="仿宋" w:cs="仿宋" w:hint="eastAsia"/>
          <w:color w:val="000000"/>
          <w:szCs w:val="32"/>
        </w:rPr>
        <w:t>（三）对调解工作突出、取得显著成绩的人民调解员的先进工作奖励。</w:t>
      </w:r>
    </w:p>
    <w:p w:rsidR="00C33CAB" w:rsidRDefault="005425AB">
      <w:pPr>
        <w:spacing w:line="560" w:lineRule="exact"/>
        <w:jc w:val="center"/>
        <w:rPr>
          <w:rFonts w:ascii="宋体"/>
          <w:color w:val="000000"/>
          <w:szCs w:val="32"/>
        </w:rPr>
      </w:pPr>
      <w:r>
        <w:rPr>
          <w:rFonts w:ascii="黑体" w:eastAsia="黑体" w:hAnsi="黑体" w:cs="黑体" w:hint="eastAsia"/>
          <w:color w:val="000000"/>
          <w:szCs w:val="32"/>
        </w:rPr>
        <w:t>第三章</w:t>
      </w:r>
      <w:r>
        <w:rPr>
          <w:rFonts w:ascii="黑体" w:eastAsia="黑体" w:hAnsi="黑体" w:cs="黑体" w:hint="eastAsia"/>
          <w:color w:val="000000"/>
          <w:szCs w:val="32"/>
        </w:rPr>
        <w:t xml:space="preserve">  </w:t>
      </w:r>
      <w:r>
        <w:rPr>
          <w:rFonts w:ascii="黑体" w:eastAsia="黑体" w:hAnsi="黑体" w:cs="黑体" w:hint="eastAsia"/>
          <w:color w:val="000000"/>
          <w:szCs w:val="32"/>
        </w:rPr>
        <w:t>奖励对象</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第三条</w:t>
      </w:r>
      <w:r>
        <w:rPr>
          <w:rFonts w:ascii="仿宋_GB2312" w:hAnsi="仿宋" w:cs="仿宋" w:hint="eastAsia"/>
          <w:color w:val="000000"/>
          <w:szCs w:val="32"/>
        </w:rPr>
        <w:t xml:space="preserve">  </w:t>
      </w:r>
      <w:r>
        <w:rPr>
          <w:rFonts w:ascii="仿宋_GB2312" w:hAnsi="仿宋" w:cs="仿宋" w:hint="eastAsia"/>
          <w:color w:val="000000"/>
          <w:szCs w:val="32"/>
        </w:rPr>
        <w:t>工作奖</w:t>
      </w:r>
      <w:r>
        <w:rPr>
          <w:rFonts w:ascii="仿宋_GB2312" w:hAnsi="仿宋" w:cs="仿宋" w:hint="eastAsia"/>
          <w:color w:val="000000"/>
          <w:szCs w:val="32"/>
        </w:rPr>
        <w:t>励对象为受理矛盾纠纷并调处成功的市、社区人民调解委员会和行业性专业</w:t>
      </w:r>
      <w:proofErr w:type="gramStart"/>
      <w:r>
        <w:rPr>
          <w:rFonts w:ascii="仿宋_GB2312" w:hAnsi="仿宋" w:cs="仿宋" w:hint="eastAsia"/>
          <w:color w:val="000000"/>
          <w:szCs w:val="32"/>
        </w:rPr>
        <w:t>性人民</w:t>
      </w:r>
      <w:proofErr w:type="gramEnd"/>
      <w:r>
        <w:rPr>
          <w:rFonts w:ascii="仿宋_GB2312" w:hAnsi="仿宋" w:cs="仿宋" w:hint="eastAsia"/>
          <w:color w:val="000000"/>
          <w:szCs w:val="32"/>
        </w:rPr>
        <w:t>调解委员会，以及人民调解员，不含公职人民调解员或其他明令禁止兼职取酬的人员。</w:t>
      </w:r>
    </w:p>
    <w:p w:rsidR="00C33CAB" w:rsidRDefault="005425AB">
      <w:pPr>
        <w:spacing w:line="560" w:lineRule="exact"/>
        <w:jc w:val="center"/>
        <w:rPr>
          <w:rFonts w:ascii="黑体" w:eastAsia="黑体" w:hAnsi="黑体" w:cs="黑体"/>
          <w:color w:val="000000"/>
          <w:szCs w:val="32"/>
        </w:rPr>
      </w:pPr>
      <w:r>
        <w:rPr>
          <w:rFonts w:ascii="黑体" w:eastAsia="黑体" w:hAnsi="黑体" w:cs="黑体" w:hint="eastAsia"/>
          <w:color w:val="000000"/>
          <w:szCs w:val="32"/>
        </w:rPr>
        <w:t>第四章</w:t>
      </w:r>
      <w:r>
        <w:rPr>
          <w:rFonts w:ascii="黑体" w:eastAsia="黑体" w:hAnsi="黑体" w:cs="黑体" w:hint="eastAsia"/>
          <w:color w:val="000000"/>
          <w:szCs w:val="32"/>
        </w:rPr>
        <w:t xml:space="preserve">  </w:t>
      </w:r>
      <w:r>
        <w:rPr>
          <w:rFonts w:ascii="黑体" w:eastAsia="黑体" w:hAnsi="黑体" w:cs="黑体" w:hint="eastAsia"/>
          <w:color w:val="000000"/>
          <w:szCs w:val="32"/>
        </w:rPr>
        <w:t>奖励内容和标准</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第四条</w:t>
      </w:r>
      <w:r>
        <w:rPr>
          <w:rFonts w:ascii="仿宋_GB2312" w:hAnsi="仿宋" w:cs="仿宋" w:hint="eastAsia"/>
          <w:color w:val="000000"/>
          <w:szCs w:val="32"/>
        </w:rPr>
        <w:t xml:space="preserve">  </w:t>
      </w:r>
      <w:r>
        <w:rPr>
          <w:rFonts w:ascii="仿宋_GB2312" w:hAnsi="仿宋" w:cs="仿宋" w:hint="eastAsia"/>
          <w:color w:val="000000"/>
          <w:szCs w:val="32"/>
        </w:rPr>
        <w:t>根据调解矛盾纠纷的难易程度、社会影响力和调解的规范化程度，将矛盾纠纷分为五类：简易矛盾纠纷、一般矛盾纠纷、复杂矛盾纠纷、重大矛盾纠纷、重特大矛盾纠纷。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第五条</w:t>
      </w:r>
      <w:r>
        <w:rPr>
          <w:rFonts w:ascii="仿宋_GB2312" w:hAnsi="仿宋" w:cs="仿宋" w:hint="eastAsia"/>
          <w:color w:val="000000"/>
          <w:szCs w:val="32"/>
        </w:rPr>
        <w:t xml:space="preserve">  </w:t>
      </w:r>
      <w:r>
        <w:rPr>
          <w:rFonts w:ascii="仿宋_GB2312" w:hAnsi="仿宋" w:cs="仿宋" w:hint="eastAsia"/>
          <w:color w:val="000000"/>
          <w:szCs w:val="32"/>
        </w:rPr>
        <w:t>符合下列情形的，可认定为简易矛盾纠纷：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具有突发性、偶发性，没有稳定的成因，经调解员现场劝解、说服、教育，并于当时化解的纠纷。调解组织予以登记，采取口头协议方式，人</w:t>
      </w:r>
      <w:r>
        <w:rPr>
          <w:rFonts w:ascii="仿宋_GB2312" w:hAnsi="仿宋" w:cs="仿宋" w:hint="eastAsia"/>
          <w:color w:val="000000"/>
          <w:szCs w:val="32"/>
        </w:rPr>
        <w:t>民调解员应当记录协议内容，由当事人、调解员签字确认。</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第六条</w:t>
      </w:r>
      <w:r>
        <w:rPr>
          <w:rFonts w:ascii="仿宋_GB2312" w:hAnsi="仿宋" w:cs="仿宋" w:hint="eastAsia"/>
          <w:color w:val="000000"/>
          <w:szCs w:val="32"/>
        </w:rPr>
        <w:t xml:space="preserve">  </w:t>
      </w:r>
      <w:r>
        <w:rPr>
          <w:rFonts w:ascii="仿宋_GB2312" w:hAnsi="仿宋" w:cs="仿宋" w:hint="eastAsia"/>
          <w:color w:val="000000"/>
          <w:szCs w:val="32"/>
        </w:rPr>
        <w:t>符合下列情形的，可认定为一般矛盾纠纷：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情节较轻、影响面不广、引发群体性事件可能性低的简单民间纠纷，经调解员调解达成共识，形成书面协议并制订调解卷宗。</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第七条</w:t>
      </w:r>
      <w:r>
        <w:rPr>
          <w:rFonts w:ascii="仿宋_GB2312" w:hAnsi="仿宋" w:cs="仿宋" w:hint="eastAsia"/>
          <w:color w:val="000000"/>
          <w:szCs w:val="32"/>
        </w:rPr>
        <w:t xml:space="preserve">  </w:t>
      </w:r>
      <w:r>
        <w:rPr>
          <w:rFonts w:ascii="仿宋_GB2312" w:hAnsi="仿宋" w:cs="仿宋" w:hint="eastAsia"/>
          <w:color w:val="000000"/>
          <w:szCs w:val="32"/>
        </w:rPr>
        <w:t>符合下列情形之一的，可认定为复杂矛盾纠纷：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（一）涉及纠纷当事人</w:t>
      </w:r>
      <w:r>
        <w:rPr>
          <w:rFonts w:ascii="仿宋_GB2312" w:hAnsi="仿宋" w:cs="仿宋" w:hint="eastAsia"/>
          <w:color w:val="000000"/>
          <w:szCs w:val="32"/>
        </w:rPr>
        <w:t>20</w:t>
      </w:r>
      <w:r>
        <w:rPr>
          <w:rFonts w:ascii="仿宋_GB2312" w:hAnsi="仿宋" w:cs="仿宋" w:hint="eastAsia"/>
          <w:color w:val="000000"/>
          <w:szCs w:val="32"/>
        </w:rPr>
        <w:t>人以上，</w:t>
      </w:r>
      <w:r>
        <w:rPr>
          <w:rFonts w:ascii="仿宋_GB2312" w:hAnsi="仿宋" w:cs="仿宋" w:hint="eastAsia"/>
          <w:color w:val="000000"/>
          <w:szCs w:val="32"/>
        </w:rPr>
        <w:t>50</w:t>
      </w:r>
      <w:r>
        <w:rPr>
          <w:rFonts w:ascii="仿宋_GB2312" w:hAnsi="仿宋" w:cs="仿宋" w:hint="eastAsia"/>
          <w:color w:val="000000"/>
          <w:szCs w:val="32"/>
        </w:rPr>
        <w:t>人以下的群体性</w:t>
      </w:r>
      <w:r>
        <w:rPr>
          <w:rFonts w:ascii="仿宋_GB2312" w:hAnsi="仿宋" w:cs="仿宋" w:hint="eastAsia"/>
          <w:color w:val="000000"/>
          <w:szCs w:val="32"/>
        </w:rPr>
        <w:lastRenderedPageBreak/>
        <w:t>矛盾纠纷；</w:t>
      </w:r>
      <w:r>
        <w:rPr>
          <w:rFonts w:ascii="仿宋_GB2312" w:hAnsi="仿宋" w:cs="仿宋"/>
          <w:color w:val="000000"/>
          <w:szCs w:val="32"/>
        </w:rPr>
        <w:t xml:space="preserve"> </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（二）</w:t>
      </w:r>
      <w:r>
        <w:rPr>
          <w:rFonts w:hint="eastAsia"/>
        </w:rPr>
        <w:t>涉案标的额</w:t>
      </w:r>
      <w:r>
        <w:rPr>
          <w:rFonts w:hint="eastAsia"/>
        </w:rPr>
        <w:t>50</w:t>
      </w:r>
      <w:r>
        <w:rPr>
          <w:rFonts w:hint="eastAsia"/>
        </w:rPr>
        <w:t>万元以上</w:t>
      </w:r>
      <w:r>
        <w:rPr>
          <w:rFonts w:ascii="仿宋_GB2312" w:hAnsi="仿宋" w:cs="仿宋" w:hint="eastAsia"/>
          <w:color w:val="000000"/>
          <w:szCs w:val="32"/>
        </w:rPr>
        <w:t>；</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（三）</w:t>
      </w:r>
      <w:r>
        <w:rPr>
          <w:rFonts w:hint="eastAsia"/>
        </w:rPr>
        <w:t>久调不结或调解成功后出现反复，可能导致矛盾纠纷升级激化事件。</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（四）其他经研究认定为复杂矛盾纠纷的。</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第八条</w:t>
      </w:r>
      <w:r>
        <w:rPr>
          <w:rFonts w:ascii="仿宋_GB2312" w:hAnsi="仿宋" w:cs="仿宋" w:hint="eastAsia"/>
          <w:color w:val="000000"/>
          <w:szCs w:val="32"/>
        </w:rPr>
        <w:t xml:space="preserve">  </w:t>
      </w:r>
      <w:r>
        <w:rPr>
          <w:rFonts w:ascii="仿宋_GB2312" w:hAnsi="仿宋" w:cs="仿宋" w:hint="eastAsia"/>
          <w:color w:val="000000"/>
          <w:szCs w:val="32"/>
        </w:rPr>
        <w:t>符合下列情形之一的，可认定为</w:t>
      </w:r>
      <w:r>
        <w:rPr>
          <w:rFonts w:ascii="仿宋_GB2312" w:hAnsi="仿宋" w:cs="仿宋" w:hint="eastAsia"/>
          <w:color w:val="000000"/>
          <w:szCs w:val="32"/>
        </w:rPr>
        <w:t>重大矛盾纠纷：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（一）多次或多人赴省进京长期信访，对本地社会稳定有重大影响的矛盾纠纷；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（二）涉及纠纷当事人</w:t>
      </w:r>
      <w:r>
        <w:rPr>
          <w:rFonts w:ascii="仿宋_GB2312" w:hAnsi="仿宋" w:cs="仿宋" w:hint="eastAsia"/>
          <w:color w:val="000000"/>
          <w:szCs w:val="32"/>
        </w:rPr>
        <w:t>50</w:t>
      </w:r>
      <w:r>
        <w:rPr>
          <w:rFonts w:ascii="仿宋_GB2312" w:hAnsi="仿宋" w:cs="仿宋" w:hint="eastAsia"/>
          <w:color w:val="000000"/>
          <w:szCs w:val="32"/>
        </w:rPr>
        <w:t>人以上的群体性矛盾纠纷，同时涉案经济利益诉求巨大的矛盾纠纷；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（三）引起社会广泛关注的矛盾纠纷；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（四）市级以上挂牌督办的矛盾纠纷；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（五）涉及政策性、历史遗留问题或其他原因引发的具有重大社会影响的矛盾纠纷；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（六）其他经研究认定属于重大矛盾纠纷的。</w:t>
      </w:r>
    </w:p>
    <w:p w:rsidR="00C33CAB" w:rsidRDefault="005425AB">
      <w:pPr>
        <w:spacing w:line="560" w:lineRule="exact"/>
        <w:ind w:firstLineChars="200" w:firstLine="640"/>
      </w:pPr>
      <w:r>
        <w:rPr>
          <w:rFonts w:hint="eastAsia"/>
        </w:rPr>
        <w:t>第九条</w:t>
      </w:r>
      <w:r>
        <w:rPr>
          <w:rFonts w:hint="eastAsia"/>
        </w:rPr>
        <w:t xml:space="preserve">  </w:t>
      </w:r>
      <w:r>
        <w:rPr>
          <w:rFonts w:hint="eastAsia"/>
        </w:rPr>
        <w:t>特别重大矛盾纠纷。是指纠纷情节特别复杂、社会影响特别严重、调解难度特别大、市级以上党委政府反复督办的矛盾纠纷。</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第十条</w:t>
      </w:r>
      <w:r>
        <w:rPr>
          <w:rFonts w:ascii="仿宋_GB2312" w:hAnsi="仿宋" w:cs="仿宋" w:hint="eastAsia"/>
          <w:color w:val="000000"/>
          <w:szCs w:val="32"/>
        </w:rPr>
        <w:t xml:space="preserve">  </w:t>
      </w:r>
      <w:r>
        <w:rPr>
          <w:rFonts w:ascii="仿宋_GB2312" w:hAnsi="仿宋" w:cs="仿宋" w:hint="eastAsia"/>
          <w:color w:val="000000"/>
          <w:szCs w:val="32"/>
        </w:rPr>
        <w:t>成功调处下列矛盾纠纷的计件奖励标准：</w:t>
      </w: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750"/>
        <w:gridCol w:w="3858"/>
        <w:gridCol w:w="1290"/>
        <w:gridCol w:w="1962"/>
      </w:tblGrid>
      <w:tr w:rsidR="00C33CAB">
        <w:trPr>
          <w:trHeight w:val="870"/>
          <w:tblHeader/>
          <w:jc w:val="center"/>
        </w:trPr>
        <w:tc>
          <w:tcPr>
            <w:tcW w:w="856" w:type="dxa"/>
            <w:vAlign w:val="center"/>
          </w:tcPr>
          <w:p w:rsidR="00C33CAB" w:rsidRDefault="005425AB">
            <w:pPr>
              <w:spacing w:line="340" w:lineRule="exact"/>
              <w:jc w:val="center"/>
              <w:rPr>
                <w:rFonts w:ascii="仿宋_GB2312"/>
                <w:b/>
                <w:bCs/>
                <w:color w:val="000000"/>
                <w:sz w:val="24"/>
              </w:rPr>
            </w:pPr>
            <w:r>
              <w:rPr>
                <w:rFonts w:ascii="仿宋_GB2312" w:hint="eastAsia"/>
                <w:b/>
                <w:bCs/>
                <w:color w:val="000000"/>
                <w:sz w:val="24"/>
              </w:rPr>
              <w:t>调</w:t>
            </w:r>
            <w:r>
              <w:rPr>
                <w:rFonts w:ascii="仿宋_GB2312" w:hint="eastAsia"/>
                <w:b/>
                <w:bCs/>
                <w:color w:val="000000"/>
                <w:sz w:val="24"/>
              </w:rPr>
              <w:t xml:space="preserve"> </w:t>
            </w:r>
            <w:r>
              <w:rPr>
                <w:rFonts w:ascii="仿宋_GB2312" w:hint="eastAsia"/>
                <w:b/>
                <w:bCs/>
                <w:color w:val="000000"/>
                <w:sz w:val="24"/>
              </w:rPr>
              <w:t>解</w:t>
            </w:r>
          </w:p>
          <w:p w:rsidR="00C33CAB" w:rsidRDefault="005425AB">
            <w:pPr>
              <w:spacing w:line="340" w:lineRule="exact"/>
              <w:jc w:val="center"/>
              <w:rPr>
                <w:rFonts w:ascii="仿宋_GB2312"/>
                <w:b/>
                <w:bCs/>
                <w:color w:val="000000"/>
                <w:sz w:val="24"/>
              </w:rPr>
            </w:pPr>
            <w:r>
              <w:rPr>
                <w:rFonts w:ascii="仿宋_GB2312" w:hint="eastAsia"/>
                <w:b/>
                <w:bCs/>
                <w:color w:val="000000"/>
                <w:sz w:val="24"/>
              </w:rPr>
              <w:t>类</w:t>
            </w:r>
            <w:r>
              <w:rPr>
                <w:rFonts w:ascii="仿宋_GB2312" w:hint="eastAsia"/>
                <w:b/>
                <w:bCs/>
                <w:color w:val="000000"/>
                <w:sz w:val="24"/>
              </w:rPr>
              <w:t xml:space="preserve"> </w:t>
            </w:r>
            <w:r>
              <w:rPr>
                <w:rFonts w:ascii="仿宋_GB2312" w:hint="eastAsia"/>
                <w:b/>
                <w:bCs/>
                <w:color w:val="000000"/>
                <w:sz w:val="24"/>
              </w:rPr>
              <w:t>型</w:t>
            </w:r>
          </w:p>
        </w:tc>
        <w:tc>
          <w:tcPr>
            <w:tcW w:w="750" w:type="dxa"/>
            <w:vAlign w:val="center"/>
          </w:tcPr>
          <w:p w:rsidR="00C33CAB" w:rsidRDefault="005425AB">
            <w:pPr>
              <w:spacing w:line="340" w:lineRule="exact"/>
              <w:jc w:val="center"/>
              <w:rPr>
                <w:rFonts w:ascii="仿宋_GB2312"/>
                <w:b/>
                <w:bCs/>
                <w:color w:val="000000"/>
                <w:sz w:val="24"/>
              </w:rPr>
            </w:pPr>
            <w:r>
              <w:rPr>
                <w:rFonts w:ascii="仿宋_GB2312" w:hint="eastAsia"/>
                <w:b/>
                <w:bCs/>
                <w:color w:val="000000"/>
                <w:sz w:val="24"/>
              </w:rPr>
              <w:t>难易档次</w:t>
            </w:r>
          </w:p>
        </w:tc>
        <w:tc>
          <w:tcPr>
            <w:tcW w:w="3858" w:type="dxa"/>
            <w:vAlign w:val="center"/>
          </w:tcPr>
          <w:p w:rsidR="00C33CAB" w:rsidRDefault="005425AB">
            <w:pPr>
              <w:spacing w:line="340" w:lineRule="exact"/>
              <w:jc w:val="center"/>
              <w:rPr>
                <w:rFonts w:ascii="仿宋_GB2312"/>
                <w:b/>
                <w:bCs/>
                <w:color w:val="000000"/>
                <w:sz w:val="24"/>
              </w:rPr>
            </w:pPr>
            <w:r>
              <w:rPr>
                <w:rFonts w:ascii="仿宋_GB2312" w:hint="eastAsia"/>
                <w:b/>
                <w:bCs/>
                <w:color w:val="000000"/>
                <w:sz w:val="24"/>
              </w:rPr>
              <w:t>划分标准</w:t>
            </w:r>
          </w:p>
        </w:tc>
        <w:tc>
          <w:tcPr>
            <w:tcW w:w="1290" w:type="dxa"/>
            <w:vAlign w:val="center"/>
          </w:tcPr>
          <w:p w:rsidR="00C33CAB" w:rsidRDefault="005425AB">
            <w:pPr>
              <w:spacing w:line="340" w:lineRule="exact"/>
              <w:jc w:val="center"/>
              <w:rPr>
                <w:rFonts w:ascii="仿宋_GB2312"/>
                <w:b/>
                <w:bCs/>
                <w:color w:val="000000"/>
                <w:sz w:val="24"/>
              </w:rPr>
            </w:pPr>
            <w:r>
              <w:rPr>
                <w:rFonts w:ascii="仿宋_GB2312" w:hint="eastAsia"/>
                <w:b/>
                <w:bCs/>
                <w:color w:val="000000"/>
                <w:sz w:val="24"/>
              </w:rPr>
              <w:t>奖励标准（元</w:t>
            </w:r>
            <w:r>
              <w:rPr>
                <w:rFonts w:ascii="仿宋_GB2312" w:hint="eastAsia"/>
                <w:b/>
                <w:bCs/>
                <w:color w:val="000000"/>
                <w:sz w:val="24"/>
              </w:rPr>
              <w:t>/</w:t>
            </w:r>
            <w:r>
              <w:rPr>
                <w:rFonts w:ascii="仿宋_GB2312" w:hint="eastAsia"/>
                <w:b/>
                <w:bCs/>
                <w:color w:val="000000"/>
                <w:sz w:val="24"/>
              </w:rPr>
              <w:t>件）</w:t>
            </w:r>
          </w:p>
        </w:tc>
        <w:tc>
          <w:tcPr>
            <w:tcW w:w="1962" w:type="dxa"/>
            <w:vAlign w:val="center"/>
          </w:tcPr>
          <w:p w:rsidR="00C33CAB" w:rsidRDefault="005425AB">
            <w:pPr>
              <w:spacing w:line="340" w:lineRule="exact"/>
              <w:jc w:val="center"/>
              <w:rPr>
                <w:rFonts w:ascii="仿宋_GB2312"/>
                <w:b/>
                <w:bCs/>
                <w:color w:val="000000"/>
                <w:sz w:val="24"/>
              </w:rPr>
            </w:pPr>
            <w:r>
              <w:rPr>
                <w:rFonts w:ascii="仿宋_GB2312" w:hint="eastAsia"/>
                <w:b/>
                <w:bCs/>
                <w:color w:val="000000"/>
                <w:sz w:val="24"/>
              </w:rPr>
              <w:t>备注</w:t>
            </w:r>
          </w:p>
        </w:tc>
      </w:tr>
      <w:tr w:rsidR="00C33CAB">
        <w:trPr>
          <w:trHeight w:val="672"/>
          <w:jc w:val="center"/>
        </w:trPr>
        <w:tc>
          <w:tcPr>
            <w:tcW w:w="856" w:type="dxa"/>
            <w:vMerge w:val="restart"/>
            <w:vAlign w:val="center"/>
          </w:tcPr>
          <w:p w:rsidR="00C33CAB" w:rsidRDefault="005425AB">
            <w:pPr>
              <w:spacing w:line="340" w:lineRule="exact"/>
              <w:jc w:val="center"/>
              <w:rPr>
                <w:rFonts w:ascii="仿宋_GB2312"/>
                <w:color w:val="000000"/>
                <w:sz w:val="24"/>
              </w:rPr>
            </w:pPr>
            <w:r>
              <w:rPr>
                <w:rFonts w:ascii="仿宋_GB2312" w:hint="eastAsia"/>
                <w:color w:val="000000"/>
                <w:sz w:val="24"/>
              </w:rPr>
              <w:t>社区调解</w:t>
            </w: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复杂、重大、重特大矛盾纠纷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一事一议</w:t>
            </w:r>
          </w:p>
        </w:tc>
        <w:tc>
          <w:tcPr>
            <w:tcW w:w="1962" w:type="dxa"/>
            <w:vMerge w:val="restart"/>
            <w:vAlign w:val="center"/>
          </w:tcPr>
          <w:p w:rsidR="00C33CAB" w:rsidRDefault="00C33CAB">
            <w:pPr>
              <w:tabs>
                <w:tab w:val="left" w:pos="597"/>
              </w:tabs>
              <w:spacing w:line="340" w:lineRule="exact"/>
              <w:rPr>
                <w:rFonts w:ascii="仿宋_GB2312"/>
                <w:color w:val="000000"/>
                <w:szCs w:val="21"/>
              </w:rPr>
            </w:pPr>
          </w:p>
        </w:tc>
      </w:tr>
      <w:tr w:rsidR="00C33CAB">
        <w:trPr>
          <w:trHeight w:val="673"/>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二类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非正常死亡</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500</w:t>
            </w:r>
            <w:r>
              <w:rPr>
                <w:rFonts w:ascii="仿宋_GB2312" w:hint="eastAsia"/>
                <w:color w:val="000000"/>
                <w:sz w:val="24"/>
              </w:rPr>
              <w:t>元</w:t>
            </w:r>
          </w:p>
        </w:tc>
        <w:tc>
          <w:tcPr>
            <w:tcW w:w="1962" w:type="dxa"/>
            <w:vMerge/>
            <w:vAlign w:val="center"/>
          </w:tcPr>
          <w:p w:rsidR="00C33CAB" w:rsidRDefault="00C33CAB">
            <w:pPr>
              <w:spacing w:line="340" w:lineRule="exact"/>
              <w:rPr>
                <w:rFonts w:ascii="仿宋_GB2312"/>
                <w:color w:val="000000"/>
                <w:szCs w:val="21"/>
              </w:rPr>
            </w:pPr>
          </w:p>
        </w:tc>
      </w:tr>
      <w:tr w:rsidR="00C33CAB">
        <w:trPr>
          <w:trHeight w:val="672"/>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三类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书面化解的一般矛盾纠纷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100</w:t>
            </w:r>
            <w:r>
              <w:rPr>
                <w:rFonts w:ascii="仿宋_GB2312" w:hint="eastAsia"/>
                <w:color w:val="000000"/>
                <w:sz w:val="24"/>
              </w:rPr>
              <w:t>元</w:t>
            </w:r>
          </w:p>
        </w:tc>
        <w:tc>
          <w:tcPr>
            <w:tcW w:w="1962" w:type="dxa"/>
            <w:vMerge/>
            <w:vAlign w:val="center"/>
          </w:tcPr>
          <w:p w:rsidR="00C33CAB" w:rsidRDefault="00C33CAB">
            <w:pPr>
              <w:spacing w:line="340" w:lineRule="exact"/>
              <w:rPr>
                <w:rFonts w:ascii="仿宋_GB2312"/>
                <w:color w:val="000000"/>
                <w:szCs w:val="21"/>
              </w:rPr>
            </w:pPr>
          </w:p>
        </w:tc>
      </w:tr>
      <w:tr w:rsidR="00C33CAB">
        <w:trPr>
          <w:trHeight w:val="673"/>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四类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口头化解的简易矛盾纠纷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50</w:t>
            </w:r>
            <w:r>
              <w:rPr>
                <w:rFonts w:ascii="仿宋_GB2312" w:hint="eastAsia"/>
                <w:color w:val="000000"/>
                <w:sz w:val="24"/>
              </w:rPr>
              <w:t>元</w:t>
            </w:r>
          </w:p>
        </w:tc>
        <w:tc>
          <w:tcPr>
            <w:tcW w:w="1962" w:type="dxa"/>
            <w:vMerge/>
            <w:vAlign w:val="center"/>
          </w:tcPr>
          <w:p w:rsidR="00C33CAB" w:rsidRDefault="00C33CAB">
            <w:pPr>
              <w:spacing w:line="340" w:lineRule="exact"/>
              <w:rPr>
                <w:rFonts w:ascii="仿宋_GB2312"/>
                <w:color w:val="000000"/>
                <w:szCs w:val="21"/>
              </w:rPr>
            </w:pPr>
          </w:p>
        </w:tc>
      </w:tr>
      <w:tr w:rsidR="00C33CAB">
        <w:trPr>
          <w:trHeight w:val="567"/>
          <w:jc w:val="center"/>
        </w:trPr>
        <w:tc>
          <w:tcPr>
            <w:tcW w:w="856" w:type="dxa"/>
            <w:vMerge w:val="restart"/>
            <w:vAlign w:val="center"/>
          </w:tcPr>
          <w:p w:rsidR="00C33CAB" w:rsidRDefault="005425AB">
            <w:pPr>
              <w:spacing w:line="340" w:lineRule="exact"/>
              <w:jc w:val="center"/>
              <w:rPr>
                <w:rFonts w:ascii="仿宋_GB2312"/>
                <w:color w:val="000000"/>
                <w:sz w:val="24"/>
              </w:rPr>
            </w:pPr>
            <w:proofErr w:type="gramStart"/>
            <w:r>
              <w:rPr>
                <w:rFonts w:ascii="仿宋_GB2312" w:hint="eastAsia"/>
                <w:color w:val="000000"/>
                <w:sz w:val="24"/>
              </w:rPr>
              <w:t>警调</w:t>
            </w:r>
            <w:proofErr w:type="gramEnd"/>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一类</w:t>
            </w:r>
          </w:p>
        </w:tc>
        <w:tc>
          <w:tcPr>
            <w:tcW w:w="3858" w:type="dxa"/>
            <w:vAlign w:val="center"/>
          </w:tcPr>
          <w:p w:rsidR="00C33CAB" w:rsidRDefault="005425AB">
            <w:pPr>
              <w:spacing w:line="340" w:lineRule="exact"/>
              <w:jc w:val="left"/>
              <w:rPr>
                <w:rFonts w:ascii="仿宋_GB2312"/>
                <w:color w:val="000000"/>
                <w:sz w:val="24"/>
              </w:rPr>
            </w:pPr>
            <w:r>
              <w:rPr>
                <w:rFonts w:ascii="仿宋_GB2312" w:hAnsi="仿宋_GB2312" w:cs="仿宋_GB2312" w:hint="eastAsia"/>
                <w:color w:val="000000"/>
                <w:sz w:val="24"/>
              </w:rPr>
              <w:t>复杂、重大、重特大矛盾纠纷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一事一议</w:t>
            </w:r>
          </w:p>
        </w:tc>
        <w:tc>
          <w:tcPr>
            <w:tcW w:w="1962" w:type="dxa"/>
            <w:vMerge w:val="restart"/>
            <w:vAlign w:val="center"/>
          </w:tcPr>
          <w:p w:rsidR="00C33CAB" w:rsidRDefault="00C33CAB">
            <w:pPr>
              <w:spacing w:line="340" w:lineRule="exact"/>
              <w:rPr>
                <w:rFonts w:ascii="仿宋_GB2312"/>
                <w:color w:val="000000"/>
                <w:szCs w:val="21"/>
              </w:rPr>
            </w:pP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二类</w:t>
            </w:r>
          </w:p>
        </w:tc>
        <w:tc>
          <w:tcPr>
            <w:tcW w:w="3858" w:type="dxa"/>
            <w:vAlign w:val="center"/>
          </w:tcPr>
          <w:p w:rsidR="00C33CAB" w:rsidRDefault="005425AB">
            <w:pPr>
              <w:spacing w:line="340" w:lineRule="exact"/>
              <w:jc w:val="left"/>
              <w:rPr>
                <w:rFonts w:ascii="仿宋_GB2312"/>
                <w:color w:val="000000"/>
                <w:sz w:val="24"/>
              </w:rPr>
            </w:pPr>
            <w:r>
              <w:rPr>
                <w:rFonts w:ascii="仿宋_GB2312" w:hint="eastAsia"/>
                <w:color w:val="000000"/>
                <w:sz w:val="24"/>
              </w:rPr>
              <w:t>非正常死亡</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500</w:t>
            </w:r>
            <w:r>
              <w:rPr>
                <w:rFonts w:ascii="仿宋_GB2312" w:hint="eastAsia"/>
                <w:color w:val="000000"/>
                <w:sz w:val="24"/>
              </w:rPr>
              <w:t>元</w:t>
            </w:r>
          </w:p>
        </w:tc>
        <w:tc>
          <w:tcPr>
            <w:tcW w:w="1962" w:type="dxa"/>
            <w:vMerge/>
            <w:vAlign w:val="center"/>
          </w:tcPr>
          <w:p w:rsidR="00C33CAB" w:rsidRDefault="00C33CAB">
            <w:pPr>
              <w:spacing w:line="340" w:lineRule="exact"/>
              <w:rPr>
                <w:rFonts w:ascii="仿宋_GB2312"/>
                <w:color w:val="000000"/>
                <w:szCs w:val="21"/>
              </w:rPr>
            </w:pPr>
          </w:p>
        </w:tc>
      </w:tr>
      <w:tr w:rsidR="00C33CAB">
        <w:trPr>
          <w:trHeight w:val="567"/>
          <w:jc w:val="center"/>
        </w:trPr>
        <w:tc>
          <w:tcPr>
            <w:tcW w:w="856" w:type="dxa"/>
            <w:vMerge/>
            <w:vAlign w:val="center"/>
          </w:tcPr>
          <w:p w:rsidR="00C33CAB" w:rsidRDefault="00C33CAB">
            <w:pPr>
              <w:spacing w:line="340" w:lineRule="exact"/>
              <w:jc w:val="center"/>
              <w:rPr>
                <w:color w:val="000000"/>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三类</w:t>
            </w:r>
          </w:p>
        </w:tc>
        <w:tc>
          <w:tcPr>
            <w:tcW w:w="3858" w:type="dxa"/>
            <w:vAlign w:val="center"/>
          </w:tcPr>
          <w:p w:rsidR="00C33CAB" w:rsidRDefault="005425AB">
            <w:pPr>
              <w:spacing w:line="340" w:lineRule="exact"/>
              <w:jc w:val="left"/>
              <w:rPr>
                <w:rFonts w:ascii="仿宋_GB2312"/>
                <w:color w:val="000000"/>
                <w:sz w:val="24"/>
              </w:rPr>
            </w:pPr>
            <w:r>
              <w:rPr>
                <w:rFonts w:ascii="仿宋_GB2312" w:hint="eastAsia"/>
                <w:color w:val="000000"/>
                <w:sz w:val="24"/>
              </w:rPr>
              <w:t>书面化解的一般矛盾纠纷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100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四类</w:t>
            </w:r>
          </w:p>
        </w:tc>
        <w:tc>
          <w:tcPr>
            <w:tcW w:w="3858" w:type="dxa"/>
            <w:vAlign w:val="center"/>
          </w:tcPr>
          <w:p w:rsidR="00C33CAB" w:rsidRDefault="005425AB">
            <w:pPr>
              <w:spacing w:line="340" w:lineRule="exact"/>
              <w:jc w:val="left"/>
              <w:rPr>
                <w:rFonts w:ascii="仿宋_GB2312"/>
                <w:color w:val="000000"/>
                <w:sz w:val="24"/>
              </w:rPr>
            </w:pPr>
            <w:r>
              <w:rPr>
                <w:rFonts w:ascii="仿宋_GB2312" w:hint="eastAsia"/>
                <w:color w:val="000000"/>
                <w:sz w:val="24"/>
              </w:rPr>
              <w:t>口头化解的简易矛盾纠纷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30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restart"/>
            <w:vAlign w:val="center"/>
          </w:tcPr>
          <w:p w:rsidR="00C33CAB" w:rsidRDefault="005425AB">
            <w:pPr>
              <w:spacing w:line="340" w:lineRule="exact"/>
              <w:jc w:val="center"/>
              <w:rPr>
                <w:rFonts w:ascii="仿宋_GB2312"/>
                <w:color w:val="000000"/>
                <w:sz w:val="24"/>
              </w:rPr>
            </w:pPr>
            <w:r>
              <w:rPr>
                <w:rFonts w:ascii="仿宋_GB2312" w:hint="eastAsia"/>
                <w:color w:val="000000"/>
                <w:sz w:val="24"/>
              </w:rPr>
              <w:t>交调</w:t>
            </w: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涉伤残</w:t>
            </w:r>
            <w:r>
              <w:rPr>
                <w:rFonts w:ascii="仿宋_GB2312" w:hAnsi="仿宋_GB2312" w:cs="仿宋_GB2312" w:hint="eastAsia"/>
                <w:color w:val="000000"/>
                <w:sz w:val="24"/>
              </w:rPr>
              <w:t>3</w:t>
            </w:r>
            <w:r>
              <w:rPr>
                <w:rFonts w:ascii="仿宋_GB2312" w:hAnsi="仿宋_GB2312" w:cs="仿宋_GB2312" w:hint="eastAsia"/>
                <w:color w:val="000000"/>
                <w:sz w:val="24"/>
              </w:rPr>
              <w:t>级以上、死亡的矛盾纠纷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500</w:t>
            </w:r>
            <w:r>
              <w:rPr>
                <w:rFonts w:ascii="仿宋_GB2312" w:hint="eastAsia"/>
                <w:color w:val="000000"/>
                <w:sz w:val="24"/>
              </w:rPr>
              <w:t>元</w:t>
            </w:r>
          </w:p>
        </w:tc>
        <w:tc>
          <w:tcPr>
            <w:tcW w:w="1962" w:type="dxa"/>
            <w:vMerge w:val="restart"/>
            <w:vAlign w:val="center"/>
          </w:tcPr>
          <w:p w:rsidR="00C33CAB" w:rsidRDefault="00C33CAB">
            <w:pPr>
              <w:spacing w:line="340" w:lineRule="exact"/>
              <w:jc w:val="center"/>
              <w:rPr>
                <w:rFonts w:ascii="仿宋_GB2312"/>
                <w:color w:val="000000"/>
                <w:sz w:val="24"/>
              </w:rPr>
            </w:pPr>
          </w:p>
        </w:tc>
      </w:tr>
      <w:tr w:rsidR="00C33CAB">
        <w:trPr>
          <w:trHeight w:hRule="exac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二类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协议标的额</w:t>
            </w:r>
            <w:r>
              <w:rPr>
                <w:rFonts w:ascii="仿宋_GB2312" w:hAnsi="仿宋_GB2312" w:cs="仿宋_GB2312" w:hint="eastAsia"/>
                <w:color w:val="000000"/>
                <w:sz w:val="24"/>
              </w:rPr>
              <w:t>100</w:t>
            </w:r>
            <w:r>
              <w:rPr>
                <w:rFonts w:ascii="仿宋_GB2312" w:hAnsi="仿宋_GB2312" w:cs="仿宋_GB2312" w:hint="eastAsia"/>
                <w:color w:val="000000"/>
                <w:sz w:val="24"/>
              </w:rPr>
              <w:t>万以上的矛盾纠纷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200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hRule="exac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三类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交通事故引发的一般纠纷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100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restart"/>
            <w:vAlign w:val="center"/>
          </w:tcPr>
          <w:p w:rsidR="00C33CAB" w:rsidRDefault="005425AB">
            <w:pPr>
              <w:spacing w:line="340" w:lineRule="exact"/>
              <w:jc w:val="center"/>
              <w:rPr>
                <w:rFonts w:ascii="仿宋_GB2312"/>
                <w:color w:val="000000"/>
                <w:sz w:val="24"/>
              </w:rPr>
            </w:pPr>
            <w:proofErr w:type="gramStart"/>
            <w:r>
              <w:rPr>
                <w:rFonts w:ascii="仿宋_GB2312" w:hint="eastAsia"/>
                <w:color w:val="000000"/>
                <w:sz w:val="24"/>
              </w:rPr>
              <w:t>诉调</w:t>
            </w:r>
            <w:proofErr w:type="gramEnd"/>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诉讼标的额</w:t>
            </w:r>
            <w:r>
              <w:rPr>
                <w:rFonts w:ascii="仿宋_GB2312" w:hAnsi="仿宋_GB2312" w:cs="仿宋_GB2312" w:hint="eastAsia"/>
                <w:color w:val="000000"/>
                <w:sz w:val="24"/>
              </w:rPr>
              <w:t>100</w:t>
            </w:r>
            <w:r>
              <w:rPr>
                <w:rFonts w:ascii="仿宋_GB2312" w:hAnsi="仿宋_GB2312" w:cs="仿宋_GB2312" w:hint="eastAsia"/>
                <w:color w:val="000000"/>
                <w:sz w:val="24"/>
              </w:rPr>
              <w:t>万以上的纠纷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300</w:t>
            </w:r>
            <w:r>
              <w:rPr>
                <w:rFonts w:ascii="仿宋_GB2312" w:hint="eastAsia"/>
                <w:color w:val="000000"/>
                <w:sz w:val="24"/>
              </w:rPr>
              <w:t>元</w:t>
            </w:r>
          </w:p>
        </w:tc>
        <w:tc>
          <w:tcPr>
            <w:tcW w:w="1962" w:type="dxa"/>
            <w:vMerge w:val="restart"/>
            <w:vAlign w:val="center"/>
          </w:tcPr>
          <w:p w:rsidR="00C33CAB" w:rsidRDefault="00C33CAB">
            <w:pPr>
              <w:spacing w:line="340" w:lineRule="exact"/>
              <w:rPr>
                <w:rFonts w:ascii="仿宋_GB2312"/>
                <w:color w:val="000000"/>
                <w:szCs w:val="21"/>
              </w:rPr>
            </w:pP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二类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诉讼标的额</w:t>
            </w:r>
            <w:r>
              <w:rPr>
                <w:rFonts w:ascii="仿宋_GB2312" w:hAnsi="仿宋_GB2312" w:cs="仿宋_GB2312" w:hint="eastAsia"/>
                <w:color w:val="000000"/>
                <w:sz w:val="24"/>
              </w:rPr>
              <w:t>50-100</w:t>
            </w:r>
            <w:r>
              <w:rPr>
                <w:rFonts w:ascii="仿宋_GB2312" w:hAnsi="仿宋_GB2312" w:cs="仿宋_GB2312" w:hint="eastAsia"/>
                <w:color w:val="000000"/>
                <w:sz w:val="24"/>
              </w:rPr>
              <w:t>万的纠纷</w:t>
            </w:r>
          </w:p>
        </w:tc>
        <w:tc>
          <w:tcPr>
            <w:tcW w:w="1290" w:type="dxa"/>
            <w:vAlign w:val="center"/>
          </w:tcPr>
          <w:p w:rsidR="00C33CAB" w:rsidRDefault="005425AB">
            <w:pPr>
              <w:tabs>
                <w:tab w:val="left" w:pos="304"/>
                <w:tab w:val="center" w:pos="574"/>
              </w:tabs>
              <w:spacing w:line="340" w:lineRule="exact"/>
              <w:jc w:val="center"/>
              <w:rPr>
                <w:rFonts w:ascii="仿宋_GB2312"/>
                <w:color w:val="000000"/>
                <w:sz w:val="24"/>
              </w:rPr>
            </w:pPr>
            <w:r>
              <w:rPr>
                <w:rFonts w:ascii="仿宋_GB2312" w:hint="eastAsia"/>
                <w:color w:val="000000"/>
                <w:sz w:val="24"/>
              </w:rPr>
              <w:t>150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三类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书面化解的一般矛盾纠纷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100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495"/>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四类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经口头调解后撤诉的纠纷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30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restart"/>
            <w:vAlign w:val="center"/>
          </w:tcPr>
          <w:p w:rsidR="00C33CAB" w:rsidRDefault="005425AB">
            <w:pPr>
              <w:spacing w:line="340" w:lineRule="exact"/>
              <w:jc w:val="center"/>
              <w:rPr>
                <w:rFonts w:ascii="仿宋_GB2312"/>
                <w:color w:val="000000"/>
                <w:sz w:val="24"/>
              </w:rPr>
            </w:pPr>
            <w:r>
              <w:rPr>
                <w:rFonts w:ascii="仿宋_GB2312" w:hint="eastAsia"/>
                <w:color w:val="000000"/>
                <w:sz w:val="24"/>
              </w:rPr>
              <w:t>市人民调解委员会</w:t>
            </w: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复杂、重大、重特大矛盾纠纷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一事一议</w:t>
            </w:r>
          </w:p>
        </w:tc>
        <w:tc>
          <w:tcPr>
            <w:tcW w:w="1962" w:type="dxa"/>
            <w:vMerge w:val="restart"/>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1"/>
                <w:szCs w:val="21"/>
              </w:rPr>
              <w:t>婚调、</w:t>
            </w:r>
            <w:proofErr w:type="gramStart"/>
            <w:r>
              <w:rPr>
                <w:rFonts w:ascii="仿宋_GB2312" w:hAnsi="仿宋_GB2312" w:cs="仿宋_GB2312" w:hint="eastAsia"/>
                <w:color w:val="000000"/>
                <w:sz w:val="21"/>
                <w:szCs w:val="21"/>
              </w:rPr>
              <w:t>劳</w:t>
            </w:r>
            <w:proofErr w:type="gramEnd"/>
            <w:r>
              <w:rPr>
                <w:rFonts w:ascii="仿宋_GB2312" w:hAnsi="仿宋_GB2312" w:cs="仿宋_GB2312" w:hint="eastAsia"/>
                <w:color w:val="000000"/>
                <w:sz w:val="21"/>
                <w:szCs w:val="21"/>
              </w:rPr>
              <w:t>调、物调、</w:t>
            </w:r>
            <w:proofErr w:type="gramStart"/>
            <w:r>
              <w:rPr>
                <w:rFonts w:ascii="仿宋_GB2312" w:hAnsi="仿宋_GB2312" w:cs="仿宋_GB2312" w:hint="eastAsia"/>
                <w:color w:val="000000"/>
                <w:sz w:val="21"/>
                <w:szCs w:val="21"/>
              </w:rPr>
              <w:t>医</w:t>
            </w:r>
            <w:proofErr w:type="gramEnd"/>
            <w:r>
              <w:rPr>
                <w:rFonts w:ascii="仿宋_GB2312" w:hAnsi="仿宋_GB2312" w:cs="仿宋_GB2312" w:hint="eastAsia"/>
                <w:color w:val="000000"/>
                <w:sz w:val="21"/>
                <w:szCs w:val="21"/>
              </w:rPr>
              <w:t>调等参照此标准</w:t>
            </w: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二类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非正常死亡</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500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三类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书面化解的一般矛盾纠纷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100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56" w:type="dxa"/>
            <w:vMerge/>
            <w:vAlign w:val="center"/>
          </w:tcPr>
          <w:p w:rsidR="00C33CAB" w:rsidRDefault="00C33CAB">
            <w:pPr>
              <w:spacing w:line="340" w:lineRule="exact"/>
              <w:jc w:val="center"/>
              <w:rPr>
                <w:rFonts w:ascii="仿宋_GB2312"/>
                <w:color w:val="000000"/>
                <w:sz w:val="24"/>
              </w:rPr>
            </w:pPr>
          </w:p>
        </w:tc>
        <w:tc>
          <w:tcPr>
            <w:tcW w:w="75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四类</w:t>
            </w:r>
          </w:p>
        </w:tc>
        <w:tc>
          <w:tcPr>
            <w:tcW w:w="3858" w:type="dxa"/>
            <w:vAlign w:val="center"/>
          </w:tcPr>
          <w:p w:rsidR="00C33CAB" w:rsidRDefault="005425AB">
            <w:pPr>
              <w:spacing w:line="340" w:lineRule="exact"/>
              <w:rPr>
                <w:rFonts w:ascii="仿宋_GB2312" w:hAnsi="仿宋_GB2312" w:cs="仿宋_GB2312"/>
                <w:color w:val="000000"/>
                <w:sz w:val="24"/>
              </w:rPr>
            </w:pPr>
            <w:r>
              <w:rPr>
                <w:rFonts w:ascii="仿宋_GB2312" w:hAnsi="仿宋_GB2312" w:cs="仿宋_GB2312" w:hint="eastAsia"/>
                <w:color w:val="000000"/>
                <w:sz w:val="24"/>
              </w:rPr>
              <w:t>口头化解的简易矛盾纠纷</w:t>
            </w:r>
          </w:p>
        </w:tc>
        <w:tc>
          <w:tcPr>
            <w:tcW w:w="1290" w:type="dxa"/>
            <w:vAlign w:val="center"/>
          </w:tcPr>
          <w:p w:rsidR="00C33CAB" w:rsidRDefault="005425AB">
            <w:pPr>
              <w:spacing w:line="340" w:lineRule="exact"/>
              <w:jc w:val="center"/>
              <w:rPr>
                <w:rFonts w:ascii="仿宋_GB2312"/>
                <w:color w:val="000000"/>
                <w:sz w:val="24"/>
              </w:rPr>
            </w:pPr>
            <w:r>
              <w:rPr>
                <w:rFonts w:ascii="仿宋_GB2312" w:hint="eastAsia"/>
                <w:color w:val="000000"/>
                <w:sz w:val="24"/>
              </w:rPr>
              <w:t>50</w:t>
            </w:r>
            <w:r>
              <w:rPr>
                <w:rFonts w:ascii="仿宋_GB2312" w:hint="eastAsia"/>
                <w:color w:val="000000"/>
                <w:sz w:val="24"/>
              </w:rPr>
              <w:t>元</w:t>
            </w:r>
          </w:p>
        </w:tc>
        <w:tc>
          <w:tcPr>
            <w:tcW w:w="1962" w:type="dxa"/>
            <w:vMerge/>
            <w:vAlign w:val="center"/>
          </w:tcPr>
          <w:p w:rsidR="00C33CAB" w:rsidRDefault="00C33CAB">
            <w:pPr>
              <w:spacing w:line="340" w:lineRule="exact"/>
              <w:jc w:val="center"/>
              <w:rPr>
                <w:rFonts w:ascii="仿宋_GB2312"/>
                <w:color w:val="000000"/>
                <w:sz w:val="24"/>
              </w:rPr>
            </w:pPr>
          </w:p>
        </w:tc>
      </w:tr>
      <w:tr w:rsidR="00C33CAB">
        <w:trPr>
          <w:trHeight w:val="567"/>
          <w:jc w:val="center"/>
        </w:trPr>
        <w:tc>
          <w:tcPr>
            <w:tcW w:w="8716" w:type="dxa"/>
            <w:gridSpan w:val="5"/>
            <w:vAlign w:val="center"/>
          </w:tcPr>
          <w:p w:rsidR="00C33CAB" w:rsidRDefault="005425AB">
            <w:pPr>
              <w:spacing w:line="340" w:lineRule="exact"/>
              <w:jc w:val="left"/>
              <w:rPr>
                <w:rFonts w:ascii="仿宋_GB2312"/>
                <w:color w:val="000000"/>
                <w:sz w:val="24"/>
              </w:rPr>
            </w:pPr>
            <w:r>
              <w:rPr>
                <w:rFonts w:ascii="仿宋_GB2312" w:hint="eastAsia"/>
                <w:color w:val="000000"/>
                <w:sz w:val="24"/>
              </w:rPr>
              <w:t>备注：以上所有案件数以浙江省人民调解大数据管理平台的数据统计为准。</w:t>
            </w:r>
          </w:p>
        </w:tc>
      </w:tr>
    </w:tbl>
    <w:p w:rsidR="00C33CAB" w:rsidRDefault="005425AB">
      <w:pPr>
        <w:spacing w:line="560" w:lineRule="exact"/>
        <w:ind w:firstLineChars="200" w:firstLine="640"/>
      </w:pPr>
      <w:r>
        <w:rPr>
          <w:rFonts w:hint="eastAsia"/>
        </w:rPr>
        <w:t>第十一条</w:t>
      </w:r>
      <w:r>
        <w:rPr>
          <w:rFonts w:hint="eastAsia"/>
        </w:rPr>
        <w:t xml:space="preserve"> </w:t>
      </w:r>
      <w:r>
        <w:rPr>
          <w:rFonts w:hint="eastAsia"/>
        </w:rPr>
        <w:t>完成下列人民调解相关工作的计件奖励标准：</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915"/>
        <w:gridCol w:w="4065"/>
        <w:gridCol w:w="1315"/>
        <w:gridCol w:w="1208"/>
      </w:tblGrid>
      <w:tr w:rsidR="00C33CAB">
        <w:trPr>
          <w:trHeight w:val="90"/>
          <w:tblHeader/>
          <w:jc w:val="center"/>
        </w:trPr>
        <w:tc>
          <w:tcPr>
            <w:tcW w:w="1234" w:type="dxa"/>
            <w:vAlign w:val="center"/>
          </w:tcPr>
          <w:p w:rsidR="00C33CAB" w:rsidRDefault="005425AB">
            <w:pPr>
              <w:spacing w:line="300" w:lineRule="exact"/>
              <w:jc w:val="center"/>
              <w:rPr>
                <w:rFonts w:ascii="仿宋_GB2312"/>
                <w:b/>
                <w:bCs/>
                <w:color w:val="000000"/>
                <w:sz w:val="24"/>
              </w:rPr>
            </w:pPr>
            <w:r>
              <w:rPr>
                <w:rFonts w:ascii="仿宋_GB2312" w:hint="eastAsia"/>
                <w:b/>
                <w:bCs/>
                <w:color w:val="000000"/>
                <w:sz w:val="24"/>
              </w:rPr>
              <w:t>事项类型</w:t>
            </w:r>
          </w:p>
        </w:tc>
        <w:tc>
          <w:tcPr>
            <w:tcW w:w="915" w:type="dxa"/>
            <w:vAlign w:val="center"/>
          </w:tcPr>
          <w:p w:rsidR="00C33CAB" w:rsidRDefault="005425AB">
            <w:pPr>
              <w:spacing w:line="300" w:lineRule="exact"/>
              <w:jc w:val="center"/>
              <w:rPr>
                <w:rFonts w:ascii="仿宋_GB2312"/>
                <w:b/>
                <w:bCs/>
                <w:color w:val="000000"/>
                <w:sz w:val="24"/>
              </w:rPr>
            </w:pPr>
            <w:r>
              <w:rPr>
                <w:rFonts w:ascii="仿宋_GB2312" w:hint="eastAsia"/>
                <w:b/>
                <w:bCs/>
                <w:color w:val="000000"/>
                <w:sz w:val="24"/>
              </w:rPr>
              <w:t>档次</w:t>
            </w:r>
          </w:p>
        </w:tc>
        <w:tc>
          <w:tcPr>
            <w:tcW w:w="4065" w:type="dxa"/>
            <w:vAlign w:val="center"/>
          </w:tcPr>
          <w:p w:rsidR="00C33CAB" w:rsidRDefault="005425AB">
            <w:pPr>
              <w:spacing w:line="300" w:lineRule="exact"/>
              <w:jc w:val="center"/>
              <w:rPr>
                <w:rFonts w:ascii="仿宋_GB2312"/>
                <w:b/>
                <w:bCs/>
                <w:color w:val="000000"/>
                <w:sz w:val="24"/>
              </w:rPr>
            </w:pPr>
            <w:r>
              <w:rPr>
                <w:rFonts w:ascii="仿宋_GB2312" w:hint="eastAsia"/>
                <w:b/>
                <w:bCs/>
                <w:color w:val="000000"/>
                <w:sz w:val="24"/>
              </w:rPr>
              <w:t>划分标准</w:t>
            </w:r>
          </w:p>
        </w:tc>
        <w:tc>
          <w:tcPr>
            <w:tcW w:w="1315" w:type="dxa"/>
            <w:vAlign w:val="center"/>
          </w:tcPr>
          <w:p w:rsidR="00C33CAB" w:rsidRDefault="005425AB">
            <w:pPr>
              <w:spacing w:line="300" w:lineRule="exact"/>
              <w:jc w:val="center"/>
              <w:rPr>
                <w:rFonts w:ascii="仿宋_GB2312"/>
                <w:b/>
                <w:bCs/>
                <w:color w:val="000000"/>
                <w:sz w:val="24"/>
              </w:rPr>
            </w:pPr>
            <w:r>
              <w:rPr>
                <w:rFonts w:ascii="仿宋_GB2312" w:hint="eastAsia"/>
                <w:b/>
                <w:bCs/>
                <w:color w:val="000000"/>
                <w:sz w:val="24"/>
              </w:rPr>
              <w:t>奖励标准（元</w:t>
            </w:r>
            <w:r>
              <w:rPr>
                <w:rFonts w:ascii="仿宋_GB2312"/>
                <w:b/>
                <w:bCs/>
                <w:color w:val="000000"/>
                <w:sz w:val="24"/>
              </w:rPr>
              <w:t>/</w:t>
            </w:r>
            <w:r>
              <w:rPr>
                <w:rFonts w:ascii="仿宋_GB2312" w:hint="eastAsia"/>
                <w:b/>
                <w:bCs/>
                <w:color w:val="000000"/>
                <w:sz w:val="24"/>
              </w:rPr>
              <w:t>件）</w:t>
            </w:r>
          </w:p>
        </w:tc>
        <w:tc>
          <w:tcPr>
            <w:tcW w:w="1208" w:type="dxa"/>
            <w:vAlign w:val="center"/>
          </w:tcPr>
          <w:p w:rsidR="00C33CAB" w:rsidRDefault="005425AB">
            <w:pPr>
              <w:spacing w:line="300" w:lineRule="exact"/>
              <w:jc w:val="center"/>
              <w:rPr>
                <w:rFonts w:ascii="仿宋_GB2312"/>
                <w:b/>
                <w:bCs/>
                <w:color w:val="000000"/>
                <w:sz w:val="24"/>
              </w:rPr>
            </w:pPr>
            <w:r>
              <w:rPr>
                <w:rFonts w:ascii="仿宋_GB2312" w:hint="eastAsia"/>
                <w:b/>
                <w:bCs/>
                <w:color w:val="000000"/>
                <w:sz w:val="24"/>
              </w:rPr>
              <w:t>备注</w:t>
            </w:r>
          </w:p>
        </w:tc>
      </w:tr>
      <w:tr w:rsidR="00C33CAB">
        <w:trPr>
          <w:trHeight w:val="567"/>
          <w:jc w:val="center"/>
        </w:trPr>
        <w:tc>
          <w:tcPr>
            <w:tcW w:w="1234" w:type="dxa"/>
            <w:vMerge w:val="restart"/>
            <w:vAlign w:val="center"/>
          </w:tcPr>
          <w:p w:rsidR="00C33CAB" w:rsidRDefault="005425AB">
            <w:pPr>
              <w:spacing w:line="300" w:lineRule="exact"/>
              <w:jc w:val="center"/>
              <w:rPr>
                <w:rFonts w:ascii="仿宋_GB2312"/>
                <w:color w:val="000000"/>
                <w:sz w:val="24"/>
              </w:rPr>
            </w:pPr>
            <w:r>
              <w:rPr>
                <w:rFonts w:ascii="仿宋_GB2312" w:hint="eastAsia"/>
                <w:color w:val="000000"/>
                <w:sz w:val="24"/>
              </w:rPr>
              <w:t>撰写典型案例</w:t>
            </w: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一类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被司法部或同级平台等录用</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500</w:t>
            </w:r>
            <w:r>
              <w:rPr>
                <w:rFonts w:ascii="仿宋_GB2312" w:hint="eastAsia"/>
                <w:color w:val="000000"/>
                <w:sz w:val="24"/>
              </w:rPr>
              <w:t>元</w:t>
            </w:r>
          </w:p>
        </w:tc>
        <w:tc>
          <w:tcPr>
            <w:tcW w:w="1208" w:type="dxa"/>
            <w:vMerge w:val="restart"/>
            <w:vAlign w:val="center"/>
          </w:tcPr>
          <w:p w:rsidR="00C33CAB" w:rsidRDefault="00C33CAB">
            <w:pPr>
              <w:tabs>
                <w:tab w:val="left" w:pos="597"/>
              </w:tabs>
              <w:spacing w:line="300" w:lineRule="exact"/>
              <w:rPr>
                <w:rFonts w:ascii="仿宋_GB2312"/>
                <w:color w:val="000000"/>
                <w:sz w:val="24"/>
              </w:rPr>
            </w:pPr>
          </w:p>
        </w:tc>
      </w:tr>
      <w:tr w:rsidR="00C33CAB">
        <w:trPr>
          <w:trHeight w:val="56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二类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被省司法厅或同级平台等录用</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300</w:t>
            </w:r>
            <w:r>
              <w:rPr>
                <w:rFonts w:ascii="仿宋_GB2312" w:hint="eastAsia"/>
                <w:color w:val="000000"/>
                <w:sz w:val="24"/>
              </w:rPr>
              <w:t>元</w:t>
            </w:r>
          </w:p>
        </w:tc>
        <w:tc>
          <w:tcPr>
            <w:tcW w:w="1208" w:type="dxa"/>
            <w:vMerge/>
            <w:vAlign w:val="center"/>
          </w:tcPr>
          <w:p w:rsidR="00C33CAB" w:rsidRDefault="00C33CAB">
            <w:pPr>
              <w:spacing w:line="300" w:lineRule="exact"/>
              <w:rPr>
                <w:rFonts w:ascii="仿宋_GB2312"/>
                <w:color w:val="000000"/>
                <w:sz w:val="24"/>
              </w:rPr>
            </w:pPr>
          </w:p>
        </w:tc>
      </w:tr>
      <w:tr w:rsidR="00C33CAB">
        <w:trPr>
          <w:trHeight w:val="58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三类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被市级司法局或同级平台等录用</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200</w:t>
            </w:r>
            <w:r>
              <w:rPr>
                <w:rFonts w:ascii="仿宋_GB2312" w:hint="eastAsia"/>
                <w:color w:val="000000"/>
                <w:sz w:val="24"/>
              </w:rPr>
              <w:t>元</w:t>
            </w:r>
          </w:p>
        </w:tc>
        <w:tc>
          <w:tcPr>
            <w:tcW w:w="1208" w:type="dxa"/>
            <w:vMerge/>
            <w:vAlign w:val="center"/>
          </w:tcPr>
          <w:p w:rsidR="00C33CAB" w:rsidRDefault="00C33CAB">
            <w:pPr>
              <w:spacing w:line="300" w:lineRule="exact"/>
              <w:rPr>
                <w:rFonts w:ascii="仿宋_GB2312"/>
                <w:color w:val="000000"/>
                <w:sz w:val="24"/>
              </w:rPr>
            </w:pPr>
          </w:p>
        </w:tc>
      </w:tr>
      <w:tr w:rsidR="00C33CAB">
        <w:trPr>
          <w:trHeight w:val="56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四类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撰写案例或综合信息经市委政法委（市司法局）录用</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50</w:t>
            </w:r>
            <w:r>
              <w:rPr>
                <w:rFonts w:ascii="仿宋_GB2312" w:hint="eastAsia"/>
                <w:color w:val="000000"/>
                <w:sz w:val="24"/>
              </w:rPr>
              <w:t>元</w:t>
            </w:r>
          </w:p>
        </w:tc>
        <w:tc>
          <w:tcPr>
            <w:tcW w:w="1208" w:type="dxa"/>
            <w:vMerge/>
            <w:vAlign w:val="center"/>
          </w:tcPr>
          <w:p w:rsidR="00C33CAB" w:rsidRDefault="00C33CAB">
            <w:pPr>
              <w:spacing w:line="300" w:lineRule="exact"/>
              <w:rPr>
                <w:rFonts w:ascii="仿宋_GB2312"/>
                <w:color w:val="000000"/>
                <w:sz w:val="24"/>
              </w:rPr>
            </w:pPr>
          </w:p>
        </w:tc>
      </w:tr>
    </w:tbl>
    <w:p w:rsidR="00C33CAB" w:rsidRDefault="005425AB">
      <w:pPr>
        <w:pStyle w:val="a3"/>
        <w:spacing w:line="540" w:lineRule="exact"/>
        <w:rPr>
          <w:rFonts w:ascii="仿宋_GB2312" w:hAnsi="仿宋" w:cs="仿宋"/>
          <w:color w:val="000000"/>
          <w:szCs w:val="32"/>
        </w:rPr>
      </w:pPr>
      <w:r>
        <w:rPr>
          <w:rFonts w:ascii="仿宋_GB2312" w:hAnsi="仿宋" w:cs="仿宋" w:hint="eastAsia"/>
          <w:color w:val="000000"/>
          <w:szCs w:val="32"/>
        </w:rPr>
        <w:t xml:space="preserve">    </w:t>
      </w:r>
      <w:r>
        <w:rPr>
          <w:rFonts w:ascii="仿宋_GB2312" w:hAnsi="仿宋" w:cs="仿宋" w:hint="eastAsia"/>
          <w:color w:val="000000"/>
          <w:szCs w:val="32"/>
        </w:rPr>
        <w:t>第十二条</w:t>
      </w:r>
      <w:r>
        <w:rPr>
          <w:rFonts w:ascii="仿宋_GB2312" w:hAnsi="仿宋" w:cs="仿宋" w:hint="eastAsia"/>
          <w:color w:val="000000"/>
          <w:szCs w:val="32"/>
        </w:rPr>
        <w:t xml:space="preserve">  </w:t>
      </w:r>
      <w:r>
        <w:rPr>
          <w:rFonts w:ascii="仿宋_GB2312" w:hAnsi="仿宋" w:cs="仿宋" w:hint="eastAsia"/>
          <w:color w:val="000000"/>
          <w:szCs w:val="32"/>
        </w:rPr>
        <w:t>先进工作奖励标准：</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4"/>
        <w:gridCol w:w="915"/>
        <w:gridCol w:w="4065"/>
        <w:gridCol w:w="1315"/>
        <w:gridCol w:w="1208"/>
      </w:tblGrid>
      <w:tr w:rsidR="00C33CAB">
        <w:trPr>
          <w:trHeight w:hRule="exact" w:val="627"/>
          <w:jc w:val="center"/>
        </w:trPr>
        <w:tc>
          <w:tcPr>
            <w:tcW w:w="1234" w:type="dxa"/>
            <w:vMerge w:val="restart"/>
            <w:vAlign w:val="center"/>
          </w:tcPr>
          <w:p w:rsidR="00C33CAB" w:rsidRDefault="005425AB">
            <w:pPr>
              <w:spacing w:line="300" w:lineRule="exact"/>
              <w:jc w:val="center"/>
              <w:rPr>
                <w:rFonts w:ascii="仿宋_GB2312"/>
                <w:color w:val="000000"/>
                <w:sz w:val="24"/>
              </w:rPr>
            </w:pPr>
            <w:r>
              <w:rPr>
                <w:rFonts w:ascii="仿宋_GB2312" w:hint="eastAsia"/>
                <w:color w:val="000000"/>
                <w:sz w:val="24"/>
              </w:rPr>
              <w:t>先进奖励</w:t>
            </w: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一类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因人民调解工作突出被国家级媒体报道宣传的</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1000</w:t>
            </w:r>
            <w:r>
              <w:rPr>
                <w:rFonts w:ascii="仿宋_GB2312" w:hint="eastAsia"/>
                <w:color w:val="000000"/>
                <w:sz w:val="24"/>
              </w:rPr>
              <w:t>元</w:t>
            </w:r>
          </w:p>
        </w:tc>
        <w:tc>
          <w:tcPr>
            <w:tcW w:w="1208" w:type="dxa"/>
            <w:vAlign w:val="center"/>
          </w:tcPr>
          <w:p w:rsidR="00C33CAB" w:rsidRDefault="00C33CAB">
            <w:pPr>
              <w:spacing w:line="300" w:lineRule="exact"/>
              <w:rPr>
                <w:rFonts w:ascii="仿宋_GB2312"/>
                <w:color w:val="000000"/>
                <w:sz w:val="24"/>
              </w:rPr>
            </w:pPr>
          </w:p>
        </w:tc>
      </w:tr>
      <w:tr w:rsidR="00C33CAB">
        <w:trPr>
          <w:trHeight w:hRule="exact" w:val="62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二类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因人民调解工作突出被省级媒体报道宣传的</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800</w:t>
            </w:r>
            <w:r>
              <w:rPr>
                <w:rFonts w:ascii="仿宋_GB2312" w:hint="eastAsia"/>
                <w:color w:val="000000"/>
                <w:sz w:val="24"/>
              </w:rPr>
              <w:t>元</w:t>
            </w:r>
          </w:p>
        </w:tc>
        <w:tc>
          <w:tcPr>
            <w:tcW w:w="1208" w:type="dxa"/>
            <w:vAlign w:val="center"/>
          </w:tcPr>
          <w:p w:rsidR="00C33CAB" w:rsidRDefault="00C33CAB">
            <w:pPr>
              <w:spacing w:line="300" w:lineRule="exact"/>
              <w:rPr>
                <w:rFonts w:ascii="仿宋_GB2312"/>
                <w:color w:val="000000"/>
                <w:sz w:val="24"/>
              </w:rPr>
            </w:pPr>
          </w:p>
        </w:tc>
      </w:tr>
      <w:tr w:rsidR="00C33CAB">
        <w:trPr>
          <w:trHeight w:hRule="exact" w:val="62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三类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因人民调解工作突出被市级媒体报道宣传的</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500</w:t>
            </w:r>
            <w:r>
              <w:rPr>
                <w:rFonts w:ascii="仿宋_GB2312" w:hint="eastAsia"/>
                <w:color w:val="000000"/>
                <w:sz w:val="24"/>
              </w:rPr>
              <w:t>元</w:t>
            </w:r>
          </w:p>
        </w:tc>
        <w:tc>
          <w:tcPr>
            <w:tcW w:w="1208" w:type="dxa"/>
            <w:vAlign w:val="center"/>
          </w:tcPr>
          <w:p w:rsidR="00C33CAB" w:rsidRDefault="00C33CAB">
            <w:pPr>
              <w:spacing w:line="300" w:lineRule="exact"/>
              <w:rPr>
                <w:rFonts w:ascii="仿宋_GB2312"/>
                <w:color w:val="000000"/>
                <w:sz w:val="24"/>
              </w:rPr>
            </w:pPr>
          </w:p>
        </w:tc>
      </w:tr>
      <w:tr w:rsidR="00C33CAB">
        <w:trPr>
          <w:trHeight w:hRule="exact" w:val="62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四类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因人民调解工作获得群众锦旗的</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100</w:t>
            </w:r>
            <w:r>
              <w:rPr>
                <w:rFonts w:ascii="仿宋_GB2312" w:hint="eastAsia"/>
                <w:color w:val="000000"/>
                <w:sz w:val="24"/>
              </w:rPr>
              <w:t>元</w:t>
            </w:r>
          </w:p>
        </w:tc>
        <w:tc>
          <w:tcPr>
            <w:tcW w:w="1208" w:type="dxa"/>
            <w:vAlign w:val="center"/>
          </w:tcPr>
          <w:p w:rsidR="00C33CAB" w:rsidRDefault="00C33CAB">
            <w:pPr>
              <w:spacing w:line="300" w:lineRule="exact"/>
              <w:rPr>
                <w:rFonts w:ascii="仿宋_GB2312"/>
                <w:color w:val="000000"/>
                <w:sz w:val="24"/>
              </w:rPr>
            </w:pPr>
          </w:p>
        </w:tc>
      </w:tr>
      <w:tr w:rsidR="00C33CAB">
        <w:trPr>
          <w:trHeight w:hRule="exact" w:val="62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五类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组织开展人民调解技能比赛并获得名次的</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一事一议</w:t>
            </w:r>
          </w:p>
        </w:tc>
        <w:tc>
          <w:tcPr>
            <w:tcW w:w="1208" w:type="dxa"/>
            <w:vAlign w:val="center"/>
          </w:tcPr>
          <w:p w:rsidR="00C33CAB" w:rsidRDefault="00C33CAB">
            <w:pPr>
              <w:spacing w:line="300" w:lineRule="exact"/>
              <w:rPr>
                <w:rFonts w:ascii="仿宋_GB2312"/>
                <w:color w:val="000000"/>
                <w:sz w:val="24"/>
              </w:rPr>
            </w:pPr>
          </w:p>
        </w:tc>
      </w:tr>
      <w:tr w:rsidR="00C33CAB">
        <w:trPr>
          <w:trHeight w:hRule="exact" w:val="627"/>
          <w:jc w:val="center"/>
        </w:trPr>
        <w:tc>
          <w:tcPr>
            <w:tcW w:w="1234" w:type="dxa"/>
            <w:vMerge/>
            <w:vAlign w:val="center"/>
          </w:tcPr>
          <w:p w:rsidR="00C33CAB" w:rsidRDefault="00C33CAB">
            <w:pPr>
              <w:spacing w:line="300" w:lineRule="exact"/>
              <w:jc w:val="center"/>
              <w:rPr>
                <w:rFonts w:ascii="仿宋_GB2312"/>
                <w:color w:val="000000"/>
                <w:sz w:val="24"/>
              </w:rPr>
            </w:pPr>
          </w:p>
        </w:tc>
        <w:tc>
          <w:tcPr>
            <w:tcW w:w="9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六类</w:t>
            </w:r>
          </w:p>
        </w:tc>
        <w:tc>
          <w:tcPr>
            <w:tcW w:w="4065" w:type="dxa"/>
            <w:vAlign w:val="center"/>
          </w:tcPr>
          <w:p w:rsidR="00C33CAB" w:rsidRDefault="005425AB">
            <w:pPr>
              <w:spacing w:line="300" w:lineRule="exact"/>
              <w:rPr>
                <w:rFonts w:ascii="仿宋_GB2312" w:hAnsi="仿宋_GB2312" w:cs="仿宋_GB2312"/>
                <w:color w:val="000000"/>
                <w:sz w:val="24"/>
              </w:rPr>
            </w:pPr>
            <w:r>
              <w:rPr>
                <w:rFonts w:ascii="仿宋_GB2312" w:hAnsi="仿宋_GB2312" w:cs="仿宋_GB2312" w:hint="eastAsia"/>
                <w:color w:val="000000"/>
                <w:sz w:val="24"/>
              </w:rPr>
              <w:t>其他经认定为先进的</w:t>
            </w:r>
          </w:p>
        </w:tc>
        <w:tc>
          <w:tcPr>
            <w:tcW w:w="1315" w:type="dxa"/>
            <w:vAlign w:val="center"/>
          </w:tcPr>
          <w:p w:rsidR="00C33CAB" w:rsidRDefault="005425AB">
            <w:pPr>
              <w:spacing w:line="300" w:lineRule="exact"/>
              <w:jc w:val="center"/>
              <w:rPr>
                <w:rFonts w:ascii="仿宋_GB2312"/>
                <w:color w:val="000000"/>
                <w:sz w:val="24"/>
              </w:rPr>
            </w:pPr>
            <w:r>
              <w:rPr>
                <w:rFonts w:ascii="仿宋_GB2312" w:hint="eastAsia"/>
                <w:color w:val="000000"/>
                <w:sz w:val="24"/>
              </w:rPr>
              <w:t>一事一议</w:t>
            </w:r>
          </w:p>
        </w:tc>
        <w:tc>
          <w:tcPr>
            <w:tcW w:w="1208" w:type="dxa"/>
            <w:vAlign w:val="center"/>
          </w:tcPr>
          <w:p w:rsidR="00C33CAB" w:rsidRDefault="00C33CAB">
            <w:pPr>
              <w:spacing w:line="300" w:lineRule="exact"/>
              <w:rPr>
                <w:rFonts w:ascii="仿宋_GB2312"/>
                <w:color w:val="000000"/>
                <w:sz w:val="24"/>
              </w:rPr>
            </w:pPr>
          </w:p>
        </w:tc>
      </w:tr>
    </w:tbl>
    <w:p w:rsidR="00C33CAB" w:rsidRDefault="005425AB">
      <w:pPr>
        <w:pStyle w:val="a3"/>
        <w:spacing w:after="0" w:line="560" w:lineRule="exact"/>
        <w:ind w:firstLineChars="200" w:firstLine="640"/>
        <w:rPr>
          <w:rFonts w:ascii="仿宋_GB2312" w:hAnsi="仿宋" w:cs="仿宋"/>
          <w:color w:val="000000"/>
          <w:szCs w:val="32"/>
        </w:rPr>
      </w:pPr>
      <w:r>
        <w:rPr>
          <w:rFonts w:ascii="仿宋_GB2312" w:hAnsi="仿宋" w:cs="仿宋" w:hint="eastAsia"/>
          <w:color w:val="000000"/>
          <w:szCs w:val="32"/>
        </w:rPr>
        <w:t>第十三条</w:t>
      </w:r>
      <w:r>
        <w:rPr>
          <w:rFonts w:ascii="仿宋_GB2312" w:hAnsi="仿宋" w:cs="仿宋" w:hint="eastAsia"/>
          <w:color w:val="000000"/>
          <w:szCs w:val="32"/>
        </w:rPr>
        <w:t xml:space="preserve"> </w:t>
      </w:r>
      <w:r>
        <w:rPr>
          <w:rFonts w:ascii="仿宋_GB2312" w:hAnsi="仿宋" w:cs="仿宋" w:hint="eastAsia"/>
          <w:color w:val="000000"/>
          <w:szCs w:val="32"/>
        </w:rPr>
        <w:t>成功调处矛盾纠纷的计件奖励标准为“一事一议”的，其中符合复杂矛盾纠纷条件的，每件奖励</w:t>
      </w:r>
      <w:r>
        <w:rPr>
          <w:rFonts w:ascii="仿宋_GB2312" w:hAnsi="仿宋" w:cs="仿宋" w:hint="eastAsia"/>
          <w:color w:val="000000"/>
          <w:szCs w:val="32"/>
        </w:rPr>
        <w:t>500</w:t>
      </w:r>
      <w:r>
        <w:rPr>
          <w:rFonts w:ascii="仿宋_GB2312" w:hAnsi="仿宋" w:cs="仿宋" w:hint="eastAsia"/>
          <w:color w:val="000000"/>
          <w:szCs w:val="32"/>
        </w:rPr>
        <w:t>至</w:t>
      </w:r>
      <w:r>
        <w:rPr>
          <w:rFonts w:ascii="仿宋_GB2312" w:hAnsi="仿宋" w:cs="仿宋" w:hint="eastAsia"/>
          <w:color w:val="000000"/>
          <w:szCs w:val="32"/>
        </w:rPr>
        <w:t>3000</w:t>
      </w:r>
      <w:r>
        <w:rPr>
          <w:rFonts w:ascii="仿宋_GB2312" w:hAnsi="仿宋" w:cs="仿宋" w:hint="eastAsia"/>
          <w:color w:val="000000"/>
          <w:szCs w:val="32"/>
        </w:rPr>
        <w:t>元；其中符合重大矛盾纠纷条件的，每件奖励</w:t>
      </w:r>
      <w:r>
        <w:rPr>
          <w:rFonts w:ascii="仿宋_GB2312" w:hAnsi="仿宋" w:cs="仿宋" w:hint="eastAsia"/>
          <w:color w:val="000000"/>
          <w:szCs w:val="32"/>
        </w:rPr>
        <w:t>3000</w:t>
      </w:r>
      <w:r>
        <w:rPr>
          <w:rFonts w:ascii="仿宋_GB2312" w:hAnsi="仿宋" w:cs="仿宋" w:hint="eastAsia"/>
          <w:color w:val="000000"/>
          <w:szCs w:val="32"/>
        </w:rPr>
        <w:t>至</w:t>
      </w:r>
      <w:r>
        <w:rPr>
          <w:rFonts w:ascii="仿宋_GB2312" w:hAnsi="仿宋" w:cs="仿宋" w:hint="eastAsia"/>
          <w:color w:val="000000"/>
          <w:szCs w:val="32"/>
        </w:rPr>
        <w:t>5000</w:t>
      </w:r>
      <w:r>
        <w:rPr>
          <w:rFonts w:ascii="仿宋_GB2312" w:hAnsi="仿宋" w:cs="仿宋" w:hint="eastAsia"/>
          <w:color w:val="000000"/>
          <w:szCs w:val="32"/>
        </w:rPr>
        <w:t>元；其中符合重特大矛盾纠纷条件的，每件奖励</w:t>
      </w:r>
      <w:r>
        <w:rPr>
          <w:rFonts w:ascii="仿宋_GB2312" w:hAnsi="仿宋" w:cs="仿宋" w:hint="eastAsia"/>
          <w:color w:val="000000"/>
          <w:szCs w:val="32"/>
        </w:rPr>
        <w:t>5000</w:t>
      </w:r>
      <w:r>
        <w:rPr>
          <w:rFonts w:ascii="仿宋_GB2312" w:hAnsi="仿宋" w:cs="仿宋" w:hint="eastAsia"/>
          <w:color w:val="000000"/>
          <w:szCs w:val="32"/>
        </w:rPr>
        <w:t>元以上；须市委政法委（市司法局）调解职能科室召集相关部门、事权单位等进行“一事一议”后，报市委政法委（市司法局）班子会议决定。</w:t>
      </w:r>
    </w:p>
    <w:p w:rsidR="00C33CAB" w:rsidRDefault="005425AB">
      <w:pPr>
        <w:pStyle w:val="a3"/>
        <w:spacing w:after="0" w:line="560" w:lineRule="exact"/>
        <w:ind w:firstLineChars="200" w:firstLine="640"/>
        <w:rPr>
          <w:rFonts w:ascii="仿宋_GB2312" w:hAnsi="仿宋" w:cs="仿宋"/>
          <w:color w:val="000000"/>
          <w:szCs w:val="32"/>
        </w:rPr>
      </w:pPr>
      <w:r>
        <w:rPr>
          <w:rFonts w:ascii="仿宋_GB2312" w:hAnsi="仿宋" w:cs="仿宋" w:hint="eastAsia"/>
          <w:color w:val="000000"/>
          <w:szCs w:val="32"/>
        </w:rPr>
        <w:t>第十四条</w:t>
      </w:r>
      <w:r>
        <w:rPr>
          <w:rFonts w:ascii="仿宋_GB2312" w:hAnsi="仿宋" w:cs="仿宋" w:hint="eastAsia"/>
          <w:color w:val="000000"/>
          <w:szCs w:val="32"/>
        </w:rPr>
        <w:t xml:space="preserve"> </w:t>
      </w:r>
      <w:r>
        <w:rPr>
          <w:rFonts w:ascii="仿宋_GB2312" w:hAnsi="仿宋" w:cs="仿宋" w:hint="eastAsia"/>
          <w:color w:val="000000"/>
          <w:szCs w:val="32"/>
        </w:rPr>
        <w:t>先进工作奖励标准为“一事一议”的，由市委政法委（市司法局）班子会议决定。</w:t>
      </w:r>
    </w:p>
    <w:p w:rsidR="00C33CAB" w:rsidRDefault="005425AB">
      <w:pPr>
        <w:pStyle w:val="a3"/>
        <w:spacing w:after="0" w:line="560" w:lineRule="exact"/>
        <w:ind w:firstLine="641"/>
        <w:rPr>
          <w:rFonts w:ascii="仿宋_GB2312" w:hAnsi="仿宋" w:cs="仿宋"/>
          <w:color w:val="000000"/>
          <w:szCs w:val="32"/>
        </w:rPr>
      </w:pPr>
      <w:r>
        <w:rPr>
          <w:rFonts w:ascii="仿宋_GB2312" w:hAnsi="仿宋" w:cs="仿宋" w:hint="eastAsia"/>
          <w:color w:val="000000"/>
          <w:szCs w:val="32"/>
        </w:rPr>
        <w:t>第十五条</w:t>
      </w:r>
      <w:r>
        <w:rPr>
          <w:rFonts w:ascii="仿宋_GB2312" w:hAnsi="仿宋" w:cs="仿宋" w:hint="eastAsia"/>
          <w:color w:val="000000"/>
          <w:szCs w:val="32"/>
        </w:rPr>
        <w:t xml:space="preserve"> </w:t>
      </w:r>
      <w:r>
        <w:rPr>
          <w:rFonts w:ascii="仿宋_GB2312" w:hAnsi="仿宋" w:cs="仿宋" w:hint="eastAsia"/>
          <w:color w:val="000000"/>
          <w:szCs w:val="32"/>
        </w:rPr>
        <w:t>人民调解员多次调解重大矛盾纠纷虽未成功，但有效防止纠纷激化或引导当事人通过其他合法途径解决，并有相应材料证明的，可参照上述条款酌情予以适当奖励。</w:t>
      </w:r>
    </w:p>
    <w:p w:rsidR="00C33CAB" w:rsidRDefault="005425AB">
      <w:pPr>
        <w:pStyle w:val="a3"/>
        <w:spacing w:after="0" w:line="560" w:lineRule="exact"/>
        <w:ind w:firstLine="641"/>
        <w:rPr>
          <w:rFonts w:ascii="仿宋_GB2312" w:hAnsi="仿宋" w:cs="仿宋"/>
          <w:color w:val="000000"/>
          <w:szCs w:val="32"/>
        </w:rPr>
      </w:pPr>
      <w:r>
        <w:rPr>
          <w:rFonts w:ascii="仿宋_GB2312" w:hAnsi="仿宋" w:cs="仿宋" w:hint="eastAsia"/>
          <w:color w:val="000000"/>
          <w:szCs w:val="32"/>
        </w:rPr>
        <w:t>第十六条对于一些重大疑难敏感案件，主管部门可以按照第十条的规定，匹配有化解能力的调解员或组织“摘牌”。</w:t>
      </w:r>
    </w:p>
    <w:p w:rsidR="00C33CAB" w:rsidRDefault="005425AB">
      <w:pPr>
        <w:spacing w:line="560" w:lineRule="exact"/>
        <w:jc w:val="center"/>
        <w:rPr>
          <w:rFonts w:ascii="黑体" w:eastAsia="黑体" w:hAnsi="黑体"/>
          <w:color w:val="000000"/>
          <w:szCs w:val="32"/>
        </w:rPr>
      </w:pPr>
      <w:r>
        <w:rPr>
          <w:rFonts w:ascii="黑体" w:eastAsia="黑体" w:hAnsi="黑体" w:cs="黑体" w:hint="eastAsia"/>
          <w:color w:val="000000"/>
          <w:szCs w:val="32"/>
        </w:rPr>
        <w:lastRenderedPageBreak/>
        <w:t>第五章</w:t>
      </w:r>
      <w:r>
        <w:rPr>
          <w:rFonts w:ascii="黑体" w:eastAsia="黑体" w:hAnsi="黑体" w:cs="黑体" w:hint="eastAsia"/>
          <w:color w:val="000000"/>
          <w:szCs w:val="32"/>
        </w:rPr>
        <w:t xml:space="preserve">  </w:t>
      </w:r>
      <w:r>
        <w:rPr>
          <w:rFonts w:ascii="黑体" w:eastAsia="黑体" w:hAnsi="黑体" w:cs="黑体" w:hint="eastAsia"/>
          <w:color w:val="000000"/>
          <w:szCs w:val="32"/>
        </w:rPr>
        <w:t>奖励审核发放程序</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第十七条</w:t>
      </w:r>
      <w:r>
        <w:rPr>
          <w:rFonts w:ascii="仿宋_GB2312" w:hAnsi="仿宋" w:cs="仿宋" w:hint="eastAsia"/>
          <w:color w:val="000000"/>
          <w:szCs w:val="32"/>
        </w:rPr>
        <w:t xml:space="preserve">  </w:t>
      </w:r>
      <w:r>
        <w:rPr>
          <w:rFonts w:ascii="仿宋_GB2312" w:hAnsi="仿宋" w:cs="仿宋" w:hint="eastAsia"/>
          <w:color w:val="000000"/>
          <w:szCs w:val="32"/>
        </w:rPr>
        <w:t>人民调解计件奖励严格按照“谁调解奖励谁”“一案一奖”的原则进行。调解纠纷案件数以浙江省人民调解大数据管理平台统计数据为准。</w:t>
      </w:r>
      <w:r>
        <w:rPr>
          <w:rFonts w:ascii="仿宋_GB2312" w:hint="eastAsia"/>
          <w:color w:val="000000"/>
          <w:szCs w:val="32"/>
        </w:rPr>
        <w:t>实行季度申报，按季度或半年发放。</w:t>
      </w:r>
      <w:r>
        <w:rPr>
          <w:rFonts w:ascii="仿宋_GB2312" w:hAnsi="仿宋" w:cs="仿宋" w:hint="eastAsia"/>
          <w:color w:val="000000"/>
          <w:szCs w:val="32"/>
        </w:rPr>
        <w:t>数据统计截至各季度末，分别在</w:t>
      </w:r>
      <w:r>
        <w:rPr>
          <w:rFonts w:ascii="仿宋_GB2312" w:hAnsi="仿宋" w:cs="仿宋" w:hint="eastAsia"/>
          <w:color w:val="000000"/>
          <w:szCs w:val="32"/>
        </w:rPr>
        <w:t>4</w:t>
      </w:r>
      <w:r>
        <w:rPr>
          <w:rFonts w:ascii="仿宋_GB2312" w:hAnsi="仿宋" w:cs="仿宋" w:hint="eastAsia"/>
          <w:color w:val="000000"/>
          <w:szCs w:val="32"/>
        </w:rPr>
        <w:t>月、</w:t>
      </w:r>
      <w:r>
        <w:rPr>
          <w:rFonts w:ascii="仿宋_GB2312" w:hAnsi="仿宋" w:cs="仿宋" w:hint="eastAsia"/>
          <w:color w:val="000000"/>
          <w:szCs w:val="32"/>
        </w:rPr>
        <w:t>7</w:t>
      </w:r>
      <w:r>
        <w:rPr>
          <w:rFonts w:ascii="仿宋_GB2312" w:hAnsi="仿宋" w:cs="仿宋" w:hint="eastAsia"/>
          <w:color w:val="000000"/>
          <w:szCs w:val="32"/>
        </w:rPr>
        <w:t>月、</w:t>
      </w:r>
      <w:r>
        <w:rPr>
          <w:rFonts w:ascii="仿宋_GB2312" w:hAnsi="仿宋" w:cs="仿宋" w:hint="eastAsia"/>
          <w:color w:val="000000"/>
          <w:szCs w:val="32"/>
        </w:rPr>
        <w:t>10</w:t>
      </w:r>
      <w:r>
        <w:rPr>
          <w:rFonts w:ascii="仿宋_GB2312" w:hAnsi="仿宋" w:cs="仿宋" w:hint="eastAsia"/>
          <w:color w:val="000000"/>
          <w:szCs w:val="32"/>
        </w:rPr>
        <w:t>月、次年</w:t>
      </w:r>
      <w:r>
        <w:rPr>
          <w:rFonts w:ascii="仿宋_GB2312" w:hAnsi="仿宋" w:cs="仿宋" w:hint="eastAsia"/>
          <w:color w:val="000000"/>
          <w:szCs w:val="32"/>
        </w:rPr>
        <w:t>1</w:t>
      </w:r>
      <w:r>
        <w:rPr>
          <w:rFonts w:ascii="仿宋_GB2312" w:hAnsi="仿宋" w:cs="仿宋" w:hint="eastAsia"/>
          <w:color w:val="000000"/>
          <w:szCs w:val="32"/>
        </w:rPr>
        <w:t>月的</w:t>
      </w:r>
      <w:r>
        <w:rPr>
          <w:rFonts w:ascii="仿宋_GB2312" w:hAnsi="仿宋" w:cs="仿宋" w:hint="eastAsia"/>
          <w:color w:val="000000"/>
          <w:szCs w:val="32"/>
        </w:rPr>
        <w:t>10</w:t>
      </w:r>
      <w:r>
        <w:rPr>
          <w:rFonts w:ascii="仿宋_GB2312" w:hAnsi="仿宋" w:cs="仿宋" w:hint="eastAsia"/>
          <w:color w:val="000000"/>
          <w:szCs w:val="32"/>
        </w:rPr>
        <w:t>日前统计报送。</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第十八条</w:t>
      </w:r>
      <w:r>
        <w:rPr>
          <w:rFonts w:ascii="仿宋_GB2312" w:hAnsi="仿宋" w:cs="仿宋" w:hint="eastAsia"/>
          <w:color w:val="000000"/>
          <w:szCs w:val="32"/>
        </w:rPr>
        <w:t xml:space="preserve">  </w:t>
      </w:r>
      <w:r>
        <w:rPr>
          <w:rFonts w:ascii="仿宋_GB2312" w:hAnsi="仿宋" w:cs="仿宋" w:hint="eastAsia"/>
          <w:color w:val="000000"/>
          <w:szCs w:val="32"/>
        </w:rPr>
        <w:t>各社区人民调解委员会及个人品牌调解室将人民调解案件计件呈报表报各社区联合党委审查，经审查符合奖励条件的，盖社区联合党委公章，报市委政法委（市司法局）审批；市人民调解委员会、行业性、专业人民调解委员会及个人品牌调解室将人民调解案件计件呈报表报所驻单位审核，并加盖所驻单位公章，报市委政法委（市司法局）审批。市委政法委（市司法局）调解职能科室负责对辖区内人民调解组织呈报计件奖励资料进行审查，审查采取随机电话抽查、查阅案卷、案</w:t>
      </w:r>
      <w:r>
        <w:rPr>
          <w:rFonts w:ascii="仿宋_GB2312" w:hAnsi="仿宋" w:cs="仿宋" w:hint="eastAsia"/>
          <w:color w:val="000000"/>
          <w:szCs w:val="32"/>
        </w:rPr>
        <w:t>件登记册、回访纠纷当事人等方式；审查结束后统计汇总，填写人民调解案件计件奖励审批表，经负责人签字，由市委政法委（市司法局）审批后予以发放经费。</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第十九条</w:t>
      </w:r>
      <w:r>
        <w:rPr>
          <w:rFonts w:ascii="仿宋_GB2312" w:hAnsi="仿宋" w:cs="仿宋" w:hint="eastAsia"/>
          <w:color w:val="000000"/>
          <w:szCs w:val="32"/>
        </w:rPr>
        <w:t xml:space="preserve">  </w:t>
      </w:r>
      <w:r>
        <w:rPr>
          <w:rFonts w:ascii="仿宋_GB2312" w:hAnsi="仿宋" w:cs="仿宋" w:hint="eastAsia"/>
          <w:color w:val="000000"/>
          <w:szCs w:val="32"/>
        </w:rPr>
        <w:t>各级人民调解组织受理调解的矛盾纠纷，有</w:t>
      </w:r>
      <w:r>
        <w:rPr>
          <w:rFonts w:ascii="仿宋_GB2312" w:hint="eastAsia"/>
          <w:color w:val="000000"/>
          <w:szCs w:val="32"/>
        </w:rPr>
        <w:t>其他情况按下列办法执行</w:t>
      </w:r>
      <w:r>
        <w:rPr>
          <w:rFonts w:ascii="仿宋_GB2312" w:hAnsi="仿宋" w:cs="仿宋" w:hint="eastAsia"/>
          <w:color w:val="000000"/>
          <w:szCs w:val="32"/>
        </w:rPr>
        <w:t>：</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（一）</w:t>
      </w:r>
      <w:r>
        <w:rPr>
          <w:rFonts w:ascii="仿宋_GB2312" w:hAnsi="仿宋" w:cs="仿宋" w:hint="eastAsia"/>
          <w:color w:val="000000"/>
          <w:szCs w:val="32"/>
        </w:rPr>
        <w:t xml:space="preserve"> </w:t>
      </w:r>
      <w:r>
        <w:rPr>
          <w:rFonts w:ascii="仿宋_GB2312" w:hAnsi="仿宋" w:cs="仿宋" w:hint="eastAsia"/>
          <w:color w:val="000000"/>
          <w:szCs w:val="32"/>
        </w:rPr>
        <w:t>简易矛盾纠纷经口头调解成功但未登记或记录调解内容的，不计入计件奖励；一般矛盾纠纷调解成功后未规范制作案卷的，按简易矛盾纠纷标准发放奖金。</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（二）</w:t>
      </w:r>
      <w:r>
        <w:rPr>
          <w:rFonts w:ascii="仿宋_GB2312" w:hAnsi="仿宋" w:cs="仿宋" w:hint="eastAsia"/>
          <w:color w:val="000000"/>
          <w:szCs w:val="32"/>
        </w:rPr>
        <w:t xml:space="preserve"> </w:t>
      </w:r>
      <w:r>
        <w:rPr>
          <w:rFonts w:ascii="仿宋_GB2312" w:hAnsi="仿宋" w:cs="仿宋" w:hint="eastAsia"/>
          <w:color w:val="000000"/>
          <w:szCs w:val="32"/>
        </w:rPr>
        <w:t>确认为违纪违法调解的调解案件或被人民法院</w:t>
      </w:r>
      <w:r>
        <w:rPr>
          <w:rFonts w:ascii="仿宋_GB2312" w:hAnsi="仿宋" w:cs="仿宋" w:hint="eastAsia"/>
          <w:color w:val="000000"/>
          <w:szCs w:val="32"/>
        </w:rPr>
        <w:lastRenderedPageBreak/>
        <w:t>确认无效撤销的调解案件，不予奖励，对已发放的奖励予以追回；</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（三）</w:t>
      </w:r>
      <w:r>
        <w:rPr>
          <w:rFonts w:ascii="仿宋_GB2312" w:hAnsi="仿宋" w:cs="仿宋" w:hint="eastAsia"/>
          <w:color w:val="000000"/>
          <w:szCs w:val="32"/>
        </w:rPr>
        <w:t xml:space="preserve"> </w:t>
      </w:r>
      <w:r>
        <w:rPr>
          <w:rFonts w:ascii="仿宋_GB2312" w:hAnsi="仿宋" w:cs="仿宋" w:hint="eastAsia"/>
          <w:color w:val="000000"/>
          <w:szCs w:val="32"/>
        </w:rPr>
        <w:t>调解协议文书不全的，不予奖励；</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（四）</w:t>
      </w:r>
      <w:r>
        <w:rPr>
          <w:rFonts w:ascii="仿宋_GB2312" w:hAnsi="仿宋" w:cs="仿宋" w:hint="eastAsia"/>
          <w:color w:val="000000"/>
          <w:szCs w:val="32"/>
        </w:rPr>
        <w:t xml:space="preserve"> </w:t>
      </w:r>
      <w:r>
        <w:rPr>
          <w:rFonts w:ascii="仿宋_GB2312" w:hAnsi="仿宋" w:cs="仿宋" w:hint="eastAsia"/>
          <w:color w:val="000000"/>
          <w:szCs w:val="32"/>
        </w:rPr>
        <w:t>虽已调解成功，但当事人又因同一事由上访、反悔或提起诉讼的，不予奖励，对已发放的奖励予以追回；</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（五）</w:t>
      </w:r>
      <w:r>
        <w:rPr>
          <w:rFonts w:ascii="仿宋_GB2312" w:hAnsi="仿宋" w:cs="仿宋" w:hint="eastAsia"/>
          <w:color w:val="000000"/>
          <w:szCs w:val="32"/>
        </w:rPr>
        <w:t xml:space="preserve"> </w:t>
      </w:r>
      <w:r>
        <w:rPr>
          <w:rFonts w:ascii="仿宋_GB2312" w:hAnsi="仿宋" w:cs="仿宋" w:hint="eastAsia"/>
          <w:color w:val="000000"/>
          <w:szCs w:val="32"/>
        </w:rPr>
        <w:t>多起调解案件中被申请对象为同一主体、诉求为同一事由、调解时间在同一时间段的调解案件，则被视为系列案件。该系列案件计件奖励，按单件案件标准给予奖励。</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（六）</w:t>
      </w:r>
      <w:r>
        <w:rPr>
          <w:rFonts w:ascii="仿宋_GB2312" w:hAnsi="仿宋" w:cs="仿宋" w:hint="eastAsia"/>
          <w:color w:val="000000"/>
          <w:szCs w:val="32"/>
        </w:rPr>
        <w:t xml:space="preserve"> </w:t>
      </w:r>
      <w:r>
        <w:rPr>
          <w:rFonts w:ascii="仿宋_GB2312" w:hAnsi="仿宋" w:cs="仿宋" w:hint="eastAsia"/>
          <w:color w:val="000000"/>
          <w:szCs w:val="32"/>
        </w:rPr>
        <w:t>辖区内因调解不当、调处不及时或者防范、疏导、化解不力而引发民转刑案件或者群体性事件的，扣除该调解员计件奖金总数的</w:t>
      </w:r>
      <w:r>
        <w:rPr>
          <w:rFonts w:ascii="仿宋_GB2312" w:hAnsi="仿宋" w:cs="仿宋" w:hint="eastAsia"/>
          <w:color w:val="000000"/>
          <w:szCs w:val="32"/>
        </w:rPr>
        <w:t>20%</w:t>
      </w:r>
      <w:r>
        <w:rPr>
          <w:rFonts w:ascii="仿宋_GB2312" w:hAnsi="仿宋" w:cs="仿宋" w:hint="eastAsia"/>
          <w:color w:val="000000"/>
          <w:szCs w:val="32"/>
        </w:rPr>
        <w:t>。</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第二十条</w:t>
      </w:r>
      <w:r>
        <w:rPr>
          <w:rFonts w:ascii="仿宋_GB2312" w:hAnsi="仿宋" w:cs="仿宋" w:hint="eastAsia"/>
          <w:color w:val="000000"/>
          <w:szCs w:val="32"/>
        </w:rPr>
        <w:t xml:space="preserve"> </w:t>
      </w:r>
      <w:r>
        <w:rPr>
          <w:rFonts w:ascii="仿宋_GB2312" w:hAnsi="仿宋" w:cs="仿宋" w:hint="eastAsia"/>
          <w:color w:val="000000"/>
          <w:szCs w:val="32"/>
        </w:rPr>
        <w:t>在申报案件计件奖励过程中弄虚作假、空报、虚报或重复报送的，取消计件奖励，对已发放的奖励予以追回，并追究相关责任人</w:t>
      </w:r>
      <w:r>
        <w:rPr>
          <w:rFonts w:ascii="仿宋_GB2312" w:hAnsi="仿宋" w:cs="仿宋" w:hint="eastAsia"/>
          <w:color w:val="000000"/>
          <w:szCs w:val="32"/>
        </w:rPr>
        <w:t>员责任。</w:t>
      </w:r>
    </w:p>
    <w:p w:rsidR="00C33CAB" w:rsidRDefault="005425AB">
      <w:pPr>
        <w:spacing w:line="560" w:lineRule="exact"/>
        <w:jc w:val="center"/>
        <w:rPr>
          <w:rFonts w:ascii="黑体" w:eastAsia="黑体" w:hAnsi="黑体"/>
          <w:color w:val="000000"/>
          <w:szCs w:val="32"/>
        </w:rPr>
      </w:pPr>
      <w:r>
        <w:rPr>
          <w:rFonts w:ascii="黑体" w:eastAsia="黑体" w:hAnsi="黑体" w:cs="黑体" w:hint="eastAsia"/>
          <w:color w:val="000000"/>
          <w:szCs w:val="32"/>
        </w:rPr>
        <w:t>第六章</w:t>
      </w:r>
      <w:r>
        <w:rPr>
          <w:rFonts w:ascii="黑体" w:eastAsia="黑体" w:hAnsi="黑体" w:cs="黑体" w:hint="eastAsia"/>
          <w:color w:val="000000"/>
          <w:szCs w:val="32"/>
        </w:rPr>
        <w:t xml:space="preserve">  </w:t>
      </w:r>
      <w:r>
        <w:rPr>
          <w:rFonts w:ascii="黑体" w:eastAsia="黑体" w:hAnsi="黑体" w:cs="黑体" w:hint="eastAsia"/>
          <w:color w:val="000000"/>
          <w:szCs w:val="32"/>
        </w:rPr>
        <w:t>经费保障</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第二十一条</w:t>
      </w:r>
      <w:r>
        <w:rPr>
          <w:rFonts w:ascii="仿宋_GB2312" w:hAnsi="仿宋" w:cs="仿宋" w:hint="eastAsia"/>
          <w:color w:val="000000"/>
          <w:szCs w:val="32"/>
        </w:rPr>
        <w:t xml:space="preserve">  </w:t>
      </w:r>
      <w:r>
        <w:rPr>
          <w:rFonts w:ascii="仿宋_GB2312" w:hAnsi="仿宋" w:cs="仿宋" w:hint="eastAsia"/>
          <w:color w:val="000000"/>
          <w:szCs w:val="32"/>
        </w:rPr>
        <w:t>市财政局要将人民调解工作经费列入同级财政预算，为人民调解委员会开展工作提供必要的工作经费保障。全市调解案件工作奖励经费由市财政局划拨到市委政法委（市司法局）统一发放。</w:t>
      </w:r>
    </w:p>
    <w:p w:rsidR="00C33CAB" w:rsidRDefault="005425AB">
      <w:pPr>
        <w:spacing w:line="560" w:lineRule="exact"/>
        <w:jc w:val="center"/>
        <w:rPr>
          <w:rFonts w:ascii="黑体" w:eastAsia="黑体" w:hAnsi="黑体"/>
          <w:color w:val="000000"/>
          <w:szCs w:val="32"/>
        </w:rPr>
      </w:pPr>
      <w:r>
        <w:rPr>
          <w:rFonts w:ascii="黑体" w:eastAsia="黑体" w:hAnsi="黑体" w:cs="黑体" w:hint="eastAsia"/>
          <w:color w:val="000000"/>
          <w:szCs w:val="32"/>
        </w:rPr>
        <w:t>第七章</w:t>
      </w:r>
      <w:r>
        <w:rPr>
          <w:rFonts w:ascii="黑体" w:eastAsia="黑体" w:hAnsi="黑体" w:cs="黑体" w:hint="eastAsia"/>
          <w:color w:val="000000"/>
          <w:szCs w:val="32"/>
        </w:rPr>
        <w:t xml:space="preserve">  </w:t>
      </w:r>
      <w:r>
        <w:rPr>
          <w:rFonts w:ascii="黑体" w:eastAsia="黑体" w:hAnsi="黑体" w:cs="黑体" w:hint="eastAsia"/>
          <w:color w:val="000000"/>
          <w:szCs w:val="32"/>
        </w:rPr>
        <w:t>附则</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第二十二条</w:t>
      </w:r>
      <w:r>
        <w:rPr>
          <w:rFonts w:ascii="仿宋_GB2312" w:hAnsi="仿宋" w:cs="仿宋" w:hint="eastAsia"/>
          <w:color w:val="000000"/>
          <w:szCs w:val="32"/>
        </w:rPr>
        <w:t xml:space="preserve">  </w:t>
      </w:r>
      <w:r>
        <w:rPr>
          <w:rFonts w:ascii="仿宋_GB2312" w:hAnsi="仿宋" w:cs="仿宋" w:hint="eastAsia"/>
          <w:color w:val="000000"/>
          <w:szCs w:val="32"/>
        </w:rPr>
        <w:t>本细则自</w:t>
      </w:r>
      <w:r w:rsidR="00C217D7">
        <w:rPr>
          <w:rFonts w:ascii="仿宋_GB2312" w:hAnsi="仿宋" w:cs="仿宋" w:hint="eastAsia"/>
          <w:color w:val="000000"/>
          <w:szCs w:val="32"/>
        </w:rPr>
        <w:t xml:space="preserve">年 月 </w:t>
      </w:r>
      <w:r>
        <w:rPr>
          <w:rFonts w:ascii="仿宋_GB2312" w:hAnsi="仿宋" w:cs="仿宋" w:hint="eastAsia"/>
          <w:color w:val="000000"/>
          <w:szCs w:val="32"/>
        </w:rPr>
        <w:t>日起施行，</w:t>
      </w:r>
      <w:r w:rsidR="00C217D7">
        <w:rPr>
          <w:rFonts w:ascii="仿宋_GB2312" w:hAnsi="仿宋" w:cs="仿宋" w:hint="eastAsia"/>
          <w:color w:val="000000"/>
          <w:szCs w:val="32"/>
        </w:rPr>
        <w:t>相关政策自2021年1月1日起执行。</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第二十三条</w:t>
      </w:r>
      <w:r>
        <w:rPr>
          <w:rFonts w:ascii="仿宋_GB2312" w:hAnsi="仿宋" w:cs="仿宋" w:hint="eastAsia"/>
          <w:color w:val="000000"/>
          <w:szCs w:val="32"/>
        </w:rPr>
        <w:t xml:space="preserve">  </w:t>
      </w:r>
      <w:r>
        <w:rPr>
          <w:rFonts w:ascii="仿宋_GB2312" w:hAnsi="仿宋" w:cs="仿宋" w:hint="eastAsia"/>
          <w:color w:val="000000"/>
          <w:szCs w:val="32"/>
        </w:rPr>
        <w:t>凡以前规定与本细则规定不一致的，按本细则规定执行。</w:t>
      </w:r>
    </w:p>
    <w:p w:rsidR="00C33CAB" w:rsidRDefault="00C33CAB">
      <w:bookmarkStart w:id="0" w:name="_GoBack"/>
      <w:bookmarkEnd w:id="0"/>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lastRenderedPageBreak/>
        <w:t>附件：</w:t>
      </w:r>
      <w:r>
        <w:rPr>
          <w:rFonts w:ascii="仿宋_GB2312" w:hAnsi="仿宋" w:cs="仿宋" w:hint="eastAsia"/>
          <w:color w:val="000000"/>
          <w:szCs w:val="32"/>
        </w:rPr>
        <w:t>1.</w:t>
      </w:r>
      <w:r>
        <w:rPr>
          <w:rFonts w:ascii="仿宋_GB2312" w:hAnsi="仿宋" w:cs="仿宋" w:hint="eastAsia"/>
          <w:color w:val="000000"/>
          <w:szCs w:val="32"/>
        </w:rPr>
        <w:t>龙港市人民调解工作计件奖励审批表</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 xml:space="preserve">      2.</w:t>
      </w:r>
      <w:r>
        <w:rPr>
          <w:rFonts w:ascii="仿宋_GB2312" w:hAnsi="仿宋" w:cs="仿宋" w:hint="eastAsia"/>
          <w:color w:val="000000"/>
          <w:szCs w:val="32"/>
        </w:rPr>
        <w:t>龙港市人民调解“以奖代补”案件清单</w:t>
      </w:r>
    </w:p>
    <w:p w:rsidR="00C33CAB" w:rsidRDefault="005425AB">
      <w:pPr>
        <w:spacing w:line="560" w:lineRule="exact"/>
        <w:ind w:firstLineChars="200" w:firstLine="640"/>
        <w:rPr>
          <w:rFonts w:ascii="仿宋_GB2312" w:hAnsi="仿宋" w:cs="仿宋"/>
          <w:color w:val="000000"/>
          <w:szCs w:val="32"/>
        </w:rPr>
      </w:pPr>
      <w:r>
        <w:rPr>
          <w:rFonts w:ascii="仿宋_GB2312" w:hAnsi="仿宋" w:cs="仿宋" w:hint="eastAsia"/>
          <w:color w:val="000000"/>
          <w:szCs w:val="32"/>
        </w:rPr>
        <w:t xml:space="preserve">      3.</w:t>
      </w:r>
      <w:r>
        <w:rPr>
          <w:rFonts w:ascii="仿宋_GB2312" w:hAnsi="仿宋" w:cs="仿宋" w:hint="eastAsia"/>
          <w:color w:val="000000"/>
          <w:szCs w:val="32"/>
        </w:rPr>
        <w:t>龙港市人民调解复杂、重大案件奖励呈</w:t>
      </w:r>
      <w:r>
        <w:rPr>
          <w:rFonts w:ascii="仿宋_GB2312" w:hAnsi="仿宋" w:cs="仿宋" w:hint="eastAsia"/>
          <w:color w:val="000000"/>
          <w:szCs w:val="32"/>
        </w:rPr>
        <w:t>报表</w:t>
      </w:r>
    </w:p>
    <w:sectPr w:rsidR="00C33CAB">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AB" w:rsidRDefault="005425AB" w:rsidP="00C217D7">
      <w:r>
        <w:separator/>
      </w:r>
    </w:p>
  </w:endnote>
  <w:endnote w:type="continuationSeparator" w:id="0">
    <w:p w:rsidR="005425AB" w:rsidRDefault="005425AB" w:rsidP="00C2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AB" w:rsidRDefault="005425AB" w:rsidP="00C217D7">
      <w:r>
        <w:separator/>
      </w:r>
    </w:p>
  </w:footnote>
  <w:footnote w:type="continuationSeparator" w:id="0">
    <w:p w:rsidR="005425AB" w:rsidRDefault="005425AB" w:rsidP="00C21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C03"/>
    <w:rsid w:val="00023C03"/>
    <w:rsid w:val="00041601"/>
    <w:rsid w:val="0004284B"/>
    <w:rsid w:val="00054656"/>
    <w:rsid w:val="00090E3D"/>
    <w:rsid w:val="000976B6"/>
    <w:rsid w:val="000A414F"/>
    <w:rsid w:val="00180B2B"/>
    <w:rsid w:val="00193BA2"/>
    <w:rsid w:val="001B10B0"/>
    <w:rsid w:val="001F3A76"/>
    <w:rsid w:val="002470FE"/>
    <w:rsid w:val="002B5136"/>
    <w:rsid w:val="002E1DF9"/>
    <w:rsid w:val="002F6412"/>
    <w:rsid w:val="002F6E2A"/>
    <w:rsid w:val="003150B7"/>
    <w:rsid w:val="0031774D"/>
    <w:rsid w:val="00320A3E"/>
    <w:rsid w:val="00333D35"/>
    <w:rsid w:val="00340EE6"/>
    <w:rsid w:val="0036450D"/>
    <w:rsid w:val="00392E61"/>
    <w:rsid w:val="00423E9E"/>
    <w:rsid w:val="004332D1"/>
    <w:rsid w:val="004C41B3"/>
    <w:rsid w:val="00503F9C"/>
    <w:rsid w:val="00523956"/>
    <w:rsid w:val="005425AB"/>
    <w:rsid w:val="0055296A"/>
    <w:rsid w:val="005539E9"/>
    <w:rsid w:val="00630FF4"/>
    <w:rsid w:val="006B59AD"/>
    <w:rsid w:val="008450CD"/>
    <w:rsid w:val="0085231A"/>
    <w:rsid w:val="008558E4"/>
    <w:rsid w:val="00871AA1"/>
    <w:rsid w:val="008A028C"/>
    <w:rsid w:val="008A1815"/>
    <w:rsid w:val="009D159C"/>
    <w:rsid w:val="009D780B"/>
    <w:rsid w:val="00A3077B"/>
    <w:rsid w:val="00A37AC6"/>
    <w:rsid w:val="00A4462F"/>
    <w:rsid w:val="00AC6AED"/>
    <w:rsid w:val="00B01528"/>
    <w:rsid w:val="00B1496E"/>
    <w:rsid w:val="00B34EDE"/>
    <w:rsid w:val="00B927B1"/>
    <w:rsid w:val="00B93CF8"/>
    <w:rsid w:val="00BD15C9"/>
    <w:rsid w:val="00C217D7"/>
    <w:rsid w:val="00C32A65"/>
    <w:rsid w:val="00C33CAB"/>
    <w:rsid w:val="00C37581"/>
    <w:rsid w:val="00C46EE9"/>
    <w:rsid w:val="00C514E6"/>
    <w:rsid w:val="00C74505"/>
    <w:rsid w:val="00C863E9"/>
    <w:rsid w:val="00E03E67"/>
    <w:rsid w:val="00E147E2"/>
    <w:rsid w:val="00E23782"/>
    <w:rsid w:val="00E46D55"/>
    <w:rsid w:val="00E6536D"/>
    <w:rsid w:val="00E97747"/>
    <w:rsid w:val="00EC7513"/>
    <w:rsid w:val="00F40194"/>
    <w:rsid w:val="00F840F4"/>
    <w:rsid w:val="00FB6BAE"/>
    <w:rsid w:val="00FC41E7"/>
    <w:rsid w:val="00FF2630"/>
    <w:rsid w:val="4F0D1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snapToGrid w:val="0"/>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footer"/>
    <w:basedOn w:val="a"/>
    <w:link w:val="Char0"/>
    <w:uiPriority w:val="99"/>
    <w:unhideWhenUsed/>
    <w:pPr>
      <w:tabs>
        <w:tab w:val="center" w:pos="4153"/>
        <w:tab w:val="right" w:pos="8306"/>
      </w:tabs>
      <w:snapToGrid w:val="0"/>
      <w:jc w:val="left"/>
    </w:pPr>
    <w:rPr>
      <w:rFonts w:ascii="Calibri" w:eastAsia="宋体" w:hAnsi="Calibri" w:cs="黑体"/>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Calibri" w:eastAsia="宋体" w:hAnsi="Calibri" w:cs="黑体"/>
      <w:sz w:val="18"/>
      <w:szCs w:val="18"/>
    </w:rPr>
  </w:style>
  <w:style w:type="character" w:customStyle="1" w:styleId="Char1">
    <w:name w:val="页眉 Char"/>
    <w:link w:val="a5"/>
    <w:uiPriority w:val="99"/>
    <w:semiHidden/>
    <w:rPr>
      <w:sz w:val="18"/>
      <w:szCs w:val="18"/>
    </w:rPr>
  </w:style>
  <w:style w:type="character" w:customStyle="1" w:styleId="Char0">
    <w:name w:val="页脚 Char"/>
    <w:link w:val="a4"/>
    <w:uiPriority w:val="99"/>
    <w:semiHidden/>
    <w:rPr>
      <w:sz w:val="18"/>
      <w:szCs w:val="18"/>
    </w:rPr>
  </w:style>
  <w:style w:type="character" w:customStyle="1" w:styleId="Char">
    <w:name w:val="正文文本 Char"/>
    <w:link w:val="a3"/>
    <w:qFormat/>
    <w:rPr>
      <w:rFonts w:ascii="Times New Roman" w:eastAsia="仿宋_GB2312" w:hAnsi="Times New Roman" w:cs="Times New Roman"/>
      <w:snapToGrid w:val="0"/>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572</Words>
  <Characters>3262</Characters>
  <Application>Microsoft Office Word</Application>
  <DocSecurity>0</DocSecurity>
  <Lines>27</Lines>
  <Paragraphs>7</Paragraphs>
  <ScaleCrop>false</ScaleCrop>
  <Company>微软中国</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中共龙港市委市政府办公室</dc:title>
  <dc:creator>Administrator</dc:creator>
  <cp:lastModifiedBy>微软用户</cp:lastModifiedBy>
  <cp:revision>1</cp:revision>
  <cp:lastPrinted>2021-09-29T01:13:00Z</cp:lastPrinted>
  <dcterms:created xsi:type="dcterms:W3CDTF">2021-08-05T10:45:00Z</dcterms:created>
  <dcterms:modified xsi:type="dcterms:W3CDTF">2021-10-09T03:55:00Z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