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560" w:lineRule="exact"/>
        <w:jc w:val="center"/>
        <w:rPr>
          <w:rFonts w:hint="eastAsia" w:ascii="方正小标宋简体" w:hAnsi="方正小标宋简体" w:eastAsia="方正小标宋简体" w:cs="方正小标宋简体"/>
          <w:sz w:val="44"/>
          <w:szCs w:val="44"/>
          <w:highlight w:val="none"/>
          <w:vertAlign w:val="baseline"/>
          <w:lang w:val="en-US" w:eastAsia="zh-CN"/>
        </w:rPr>
      </w:pPr>
      <w:r>
        <w:rPr>
          <w:rFonts w:hint="eastAsia" w:ascii="方正小标宋简体" w:hAnsi="方正小标宋简体" w:eastAsia="方正小标宋简体" w:cs="方正小标宋简体"/>
          <w:sz w:val="44"/>
          <w:szCs w:val="44"/>
          <w:highlight w:val="none"/>
          <w:vertAlign w:val="baseline"/>
          <w:lang w:val="en-US" w:eastAsia="zh-CN"/>
        </w:rPr>
        <w:t>龙港市投资项目极速审批“一类事”改革</w:t>
      </w:r>
    </w:p>
    <w:p>
      <w:pPr>
        <w:keepNext w:val="0"/>
        <w:keepLines w:val="0"/>
        <w:pageBreakBefore w:val="0"/>
        <w:wordWrap/>
        <w:overflowPunct/>
        <w:topLinePunct w:val="0"/>
        <w:bidi w:val="0"/>
        <w:spacing w:line="560" w:lineRule="exact"/>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sz w:val="44"/>
          <w:szCs w:val="44"/>
          <w:highlight w:val="none"/>
          <w:vertAlign w:val="baseline"/>
          <w:lang w:val="en-US" w:eastAsia="zh-CN"/>
        </w:rPr>
        <w:t>实施方案</w:t>
      </w:r>
    </w:p>
    <w:p>
      <w:pPr>
        <w:pStyle w:val="2"/>
        <w:keepNext w:val="0"/>
        <w:keepLines w:val="0"/>
        <w:pageBreakBefore w:val="0"/>
        <w:kinsoku/>
        <w:wordWrap/>
        <w:overflowPunct/>
        <w:topLinePunct w:val="0"/>
        <w:autoSpaceDE/>
        <w:autoSpaceDN/>
        <w:bidi w:val="0"/>
        <w:snapToGrid/>
        <w:spacing w:line="560" w:lineRule="exact"/>
        <w:ind w:left="0" w:leftChars="0" w:firstLine="0" w:firstLineChars="0"/>
        <w:jc w:val="center"/>
        <w:textAlignment w:val="auto"/>
        <w:rPr>
          <w:rFonts w:hint="eastAsia" w:ascii="仿宋" w:hAnsi="仿宋" w:eastAsia="仿宋" w:cs="仿宋"/>
          <w:color w:val="auto"/>
          <w:spacing w:val="-10"/>
          <w:sz w:val="32"/>
          <w:szCs w:val="32"/>
          <w:highlight w:val="none"/>
          <w:lang w:eastAsia="zh-CN"/>
        </w:rPr>
      </w:pPr>
      <w:r>
        <w:rPr>
          <w:rFonts w:hint="eastAsia" w:ascii="仿宋" w:hAnsi="仿宋" w:eastAsia="仿宋" w:cs="仿宋"/>
          <w:color w:val="auto"/>
          <w:spacing w:val="-10"/>
          <w:sz w:val="32"/>
          <w:szCs w:val="32"/>
          <w:highlight w:val="none"/>
          <w:lang w:eastAsia="zh-CN"/>
        </w:rPr>
        <w:t>（征求意见稿）</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wordWrap/>
        <w:overflowPunct/>
        <w:topLinePunct w:val="0"/>
        <w:bidi w:val="0"/>
        <w:spacing w:line="560" w:lineRule="exact"/>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一、指导思想和实施依据</w:t>
      </w:r>
      <w:bookmarkStart w:id="0" w:name="_GoBack"/>
      <w:bookmarkEnd w:id="0"/>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shd w:val="clear" w:color="auto" w:fill="auto"/>
          <w:lang w:val="en-US" w:eastAsia="zh-CN"/>
        </w:rPr>
        <w:t>贯彻落实省委省政府营商环境优化提升“一号改革工程”的部署，推进“一件事”向“一类事”、一个环节向全链条、便捷服务向增值服务的全面升级，</w:t>
      </w:r>
      <w:r>
        <w:rPr>
          <w:rFonts w:hint="eastAsia" w:ascii="仿宋_GB2312" w:hAnsi="仿宋_GB2312" w:eastAsia="仿宋_GB2312" w:cs="仿宋_GB2312"/>
          <w:color w:val="auto"/>
          <w:sz w:val="32"/>
          <w:szCs w:val="32"/>
          <w:highlight w:val="none"/>
        </w:rPr>
        <w:t>助力全市经济高质量发展，促进投资项目极速开工极速投用，有效降低制度性成本，进一步激发市场主体活力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持续优化</w:t>
      </w:r>
      <w:r>
        <w:rPr>
          <w:rFonts w:hint="eastAsia" w:ascii="仿宋_GB2312" w:hAnsi="仿宋_GB2312" w:eastAsia="仿宋_GB2312" w:cs="仿宋_GB2312"/>
          <w:color w:val="auto"/>
          <w:sz w:val="32"/>
          <w:szCs w:val="32"/>
          <w:highlight w:val="none"/>
          <w:lang w:val="en-US" w:eastAsia="zh-CN"/>
        </w:rPr>
        <w:t>龙港</w:t>
      </w:r>
      <w:r>
        <w:rPr>
          <w:rFonts w:hint="eastAsia" w:ascii="仿宋_GB2312" w:hAnsi="仿宋_GB2312" w:eastAsia="仿宋_GB2312" w:cs="仿宋_GB2312"/>
          <w:color w:val="auto"/>
          <w:sz w:val="32"/>
          <w:szCs w:val="32"/>
          <w:highlight w:val="none"/>
        </w:rPr>
        <w:t>市营商环境</w:t>
      </w:r>
      <w:r>
        <w:rPr>
          <w:rFonts w:hint="eastAsia" w:ascii="仿宋_GB2312" w:hAnsi="仿宋_GB2312" w:eastAsia="仿宋_GB2312" w:cs="仿宋_GB2312"/>
          <w:color w:val="auto"/>
          <w:sz w:val="32"/>
          <w:szCs w:val="32"/>
          <w:highlight w:val="none"/>
          <w:lang w:eastAsia="zh-CN"/>
        </w:rPr>
        <w:t>。</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根据《国务院关于加快推进政务服务标准化规范化便利化的指导意见》（国发〔2022〕5号）、《中华人民共和国土地管理法》、《中华人民共和国城镇国有土地使用权出让和转让暂行条例》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国务院5号令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、《不动产登记暂行条例实施细则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国土资源部令第63号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浙江省深化工程建设项目审批制度改革工作实施方案》等法律法规及有关文件精神，依托“一枚印章管审批”的优势，改革审批服务方式，优化审批流程，提高审批效率，以企业承诺和需求为办事基础，支持企业盘活土地资源，破解企业投产慢、融资慢等问题。</w:t>
      </w:r>
    </w:p>
    <w:p>
      <w:pPr>
        <w:keepNext w:val="0"/>
        <w:keepLines w:val="0"/>
        <w:pageBreakBefore w:val="0"/>
        <w:wordWrap/>
        <w:overflowPunct/>
        <w:topLinePunct w:val="0"/>
        <w:bidi w:val="0"/>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二、改革目标和适用范围</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投资项目“一件事”向“一类事”提升</w:t>
      </w:r>
      <w:r>
        <w:rPr>
          <w:rFonts w:hint="eastAsia" w:ascii="仿宋_GB2312" w:hAnsi="仿宋_GB2312" w:eastAsia="仿宋_GB2312" w:cs="仿宋_GB2312"/>
          <w:color w:val="auto"/>
          <w:sz w:val="32"/>
          <w:szCs w:val="32"/>
          <w:highlight w:val="none"/>
        </w:rPr>
        <w:t>的目标，是实现设定范围内的投资项目“</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即时”极速办理：“拿地即开工”促项目早开工；</w:t>
      </w:r>
      <w:r>
        <w:rPr>
          <w:rFonts w:hint="eastAsia" w:ascii="仿宋_GB2312" w:hAnsi="仿宋_GB2312" w:eastAsia="仿宋_GB2312" w:cs="仿宋_GB2312"/>
          <w:color w:val="auto"/>
          <w:sz w:val="32"/>
          <w:szCs w:val="32"/>
          <w:highlight w:val="none"/>
          <w:lang w:eastAsia="zh-CN"/>
        </w:rPr>
        <w:t>“报备即</w:t>
      </w:r>
      <w:r>
        <w:rPr>
          <w:rFonts w:hint="eastAsia" w:ascii="仿宋_GB2312" w:hAnsi="仿宋_GB2312" w:eastAsia="仿宋_GB2312" w:cs="仿宋_GB2312"/>
          <w:color w:val="auto"/>
          <w:sz w:val="32"/>
          <w:szCs w:val="32"/>
          <w:highlight w:val="none"/>
          <w:lang w:val="en-US" w:eastAsia="zh-CN"/>
        </w:rPr>
        <w:t>接入</w:t>
      </w:r>
      <w:r>
        <w:rPr>
          <w:rFonts w:hint="eastAsia" w:ascii="仿宋_GB2312" w:hAnsi="仿宋_GB2312" w:eastAsia="仿宋_GB2312" w:cs="仿宋_GB2312"/>
          <w:color w:val="auto"/>
          <w:sz w:val="32"/>
          <w:szCs w:val="32"/>
          <w:highlight w:val="none"/>
          <w:lang w:eastAsia="zh-CN"/>
        </w:rPr>
        <w:t>”促项目早</w:t>
      </w:r>
      <w:r>
        <w:rPr>
          <w:rFonts w:hint="eastAsia" w:ascii="仿宋_GB2312" w:hAnsi="仿宋_GB2312" w:eastAsia="仿宋_GB2312" w:cs="仿宋_GB2312"/>
          <w:color w:val="auto"/>
          <w:sz w:val="32"/>
          <w:szCs w:val="32"/>
          <w:highlight w:val="none"/>
          <w:shd w:val="clear" w:color="auto" w:fill="auto"/>
          <w:lang w:val="en-US" w:eastAsia="zh-CN"/>
        </w:rPr>
        <w:t>接通</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“预验即投用”促项目早投产；</w:t>
      </w:r>
      <w:r>
        <w:rPr>
          <w:rFonts w:hint="eastAsia" w:ascii="仿宋_GB2312" w:hAnsi="仿宋_GB2312" w:eastAsia="仿宋_GB2312" w:cs="仿宋_GB2312"/>
          <w:color w:val="auto"/>
          <w:sz w:val="32"/>
          <w:szCs w:val="32"/>
          <w:highlight w:val="none"/>
          <w:lang w:eastAsia="zh-CN"/>
        </w:rPr>
        <w:t>“分验即融资”促项目早</w:t>
      </w:r>
      <w:r>
        <w:rPr>
          <w:rFonts w:hint="eastAsia" w:ascii="仿宋_GB2312" w:hAnsi="仿宋_GB2312" w:eastAsia="仿宋_GB2312" w:cs="仿宋_GB2312"/>
          <w:color w:val="auto"/>
          <w:sz w:val="32"/>
          <w:szCs w:val="32"/>
          <w:highlight w:val="none"/>
          <w:lang w:val="en-US" w:eastAsia="zh-CN"/>
        </w:rPr>
        <w:t>融资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“竣工即领证”促项目早拿证</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（一）“拿地即开工”。</w:t>
      </w:r>
      <w:r>
        <w:rPr>
          <w:rFonts w:hint="eastAsia" w:ascii="仿宋_GB2312" w:hAnsi="仿宋_GB2312" w:eastAsia="仿宋_GB2312" w:cs="仿宋_GB2312"/>
          <w:color w:val="auto"/>
          <w:sz w:val="32"/>
          <w:szCs w:val="32"/>
          <w:highlight w:val="none"/>
        </w:rPr>
        <w:t>根据出让地块意向单位的申请，利用地块挂牌期及出让合同签订准备期，采取“模拟审批”的方式，出让地块意向单位先行开展项目的准备工作（包括确定勘察设计单位、地质勘探、设计试桩、方案和施工图设计、确定施工监理单位和施工现场临时水电等），各审批部门对意向企业的方案进行提前审查，以“四个一”的审批改革理念为基础，将企业的“等地期”转变为“前审期”，同时业主单位在签订国有建设用地使用权出让合同并取得交地确认书后，同步办理完成开工前许可手续。“拿地即开工”适用于除住宅类开发项目之外的所有投资项目，但以下工程建设项目不适用：</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1.涉及易燃易爆危险品、危险化学品的生产和储存或者技术难度特别复杂的项目；</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2.事关国家安全和生态安全、涉及重大生产力布局、重大公共利益的建设项目；</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3.环境保护等法律法规规定的不得擅自开工的建设项目；</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4.须特殊管理的建设项目。</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（二）“</w:t>
      </w:r>
      <w:r>
        <w:rPr>
          <w:rFonts w:hint="eastAsia" w:ascii="楷体_GB2312" w:hAnsi="楷体_GB2312" w:eastAsia="楷体_GB2312" w:cs="楷体_GB2312"/>
          <w:color w:val="auto"/>
          <w:sz w:val="32"/>
          <w:szCs w:val="32"/>
          <w:highlight w:val="none"/>
          <w:lang w:eastAsia="zh-CN"/>
        </w:rPr>
        <w:t>报备即接入</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sz w:val="32"/>
          <w:szCs w:val="32"/>
          <w:highlight w:val="none"/>
        </w:rPr>
        <w:t>工程建设审批和市政公用设施整合报批或报装，通过外跑变内跑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多窗变一窗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联验及联审等举措，实现施工许可与市政公用设施同步申请、同步受理、同步审查、同步办结。适用于全市范围内的投资项目新建、改建、扩建工程涉及市政公用设施报批或报装。</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（三）“预验即投用”。</w:t>
      </w:r>
      <w:r>
        <w:rPr>
          <w:rFonts w:hint="eastAsia" w:ascii="仿宋_GB2312" w:hAnsi="仿宋_GB2312" w:eastAsia="仿宋_GB2312" w:cs="仿宋_GB2312"/>
          <w:color w:val="auto"/>
          <w:sz w:val="32"/>
          <w:szCs w:val="32"/>
          <w:highlight w:val="none"/>
        </w:rPr>
        <w:t>投资项目在竣工验收之前，参与工程建设的各方主体在相关部门的监督下，对工程建设项目进行初步验收，及时发现问题并进行整改，预验收通过后，业主单位进行试运行投用，行业主管部门提前介入安全生产监管。适用于除住宅类开发项目之外的所有投资项目，但以下工程建设项目不适用：</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1.生产或存放易燃、易爆、有毒、有害物品或危险品的仓库和厂房；</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2.市政管网配套不健全，需要破坏城市主干道或快速路的；</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3.位于文物保护地带、建控地带、地下文物埋藏区、《建设项目环境影响评价分类管理名录》确定的环境敏感区；</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4.位于机要单位和名木古树30米范围内；</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5.可能影响周边主体相邻权等合法权益的项目；</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6.占用河湖水域或河道及水利工程管理范围的项目。</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四</w:t>
      </w:r>
      <w:r>
        <w:rPr>
          <w:rFonts w:hint="eastAsia" w:ascii="楷体_GB2312" w:hAnsi="楷体_GB2312" w:eastAsia="楷体_GB2312" w:cs="楷体_GB2312"/>
          <w:color w:val="auto"/>
          <w:sz w:val="32"/>
          <w:szCs w:val="32"/>
          <w:highlight w:val="none"/>
        </w:rPr>
        <w:t>）“分验即融资”。</w:t>
      </w:r>
      <w:r>
        <w:rPr>
          <w:rFonts w:hint="eastAsia" w:ascii="仿宋_GB2312" w:hAnsi="仿宋_GB2312" w:eastAsia="仿宋_GB2312" w:cs="仿宋_GB2312"/>
          <w:color w:val="auto"/>
          <w:sz w:val="32"/>
          <w:szCs w:val="32"/>
          <w:highlight w:val="none"/>
        </w:rPr>
        <w:t>工业企业投资项目</w:t>
      </w:r>
      <w:r>
        <w:rPr>
          <w:rFonts w:hint="eastAsia" w:ascii="仿宋_GB2312" w:hAnsi="仿宋_GB2312" w:eastAsia="仿宋_GB2312" w:cs="仿宋_GB2312"/>
          <w:color w:val="auto"/>
          <w:sz w:val="32"/>
          <w:szCs w:val="32"/>
          <w:highlight w:val="none"/>
          <w:lang w:val="en-US" w:eastAsia="zh-CN"/>
        </w:rPr>
        <w:t>通过</w:t>
      </w:r>
      <w:r>
        <w:rPr>
          <w:rFonts w:hint="eastAsia" w:ascii="仿宋_GB2312" w:hAnsi="仿宋_GB2312" w:eastAsia="仿宋_GB2312" w:cs="仿宋_GB2312"/>
          <w:color w:val="auto"/>
          <w:sz w:val="32"/>
          <w:szCs w:val="32"/>
          <w:highlight w:val="none"/>
        </w:rPr>
        <w:t>分期验收、分期办理不动产证、</w:t>
      </w:r>
      <w:r>
        <w:rPr>
          <w:rFonts w:hint="eastAsia" w:ascii="仿宋_GB2312" w:hAnsi="仿宋_GB2312" w:eastAsia="仿宋_GB2312" w:cs="仿宋_GB2312"/>
          <w:color w:val="auto"/>
          <w:sz w:val="32"/>
          <w:szCs w:val="32"/>
          <w:highlight w:val="none"/>
          <w:lang w:val="en-US" w:eastAsia="zh-CN"/>
        </w:rPr>
        <w:t>土地使用权和</w:t>
      </w:r>
      <w:r>
        <w:rPr>
          <w:rFonts w:hint="eastAsia" w:ascii="仿宋_GB2312" w:hAnsi="仿宋_GB2312" w:eastAsia="仿宋_GB2312" w:cs="仿宋_GB2312"/>
          <w:color w:val="auto"/>
          <w:sz w:val="32"/>
          <w:szCs w:val="32"/>
          <w:highlight w:val="none"/>
        </w:rPr>
        <w:t>在建工程抵押即时转为不动产抵押和顺位抵押贷款</w:t>
      </w:r>
      <w:r>
        <w:rPr>
          <w:rFonts w:hint="eastAsia" w:ascii="仿宋_GB2312" w:hAnsi="仿宋_GB2312" w:eastAsia="仿宋_GB2312" w:cs="仿宋_GB2312"/>
          <w:color w:val="auto"/>
          <w:sz w:val="32"/>
          <w:szCs w:val="32"/>
          <w:highlight w:val="none"/>
          <w:lang w:val="en-US" w:eastAsia="zh-CN"/>
        </w:rPr>
        <w:t>等举措</w:t>
      </w:r>
      <w:r>
        <w:rPr>
          <w:rFonts w:hint="eastAsia" w:ascii="仿宋_GB2312" w:hAnsi="仿宋_GB2312" w:eastAsia="仿宋_GB2312" w:cs="仿宋_GB2312"/>
          <w:color w:val="auto"/>
          <w:sz w:val="32"/>
          <w:szCs w:val="32"/>
          <w:highlight w:val="none"/>
        </w:rPr>
        <w:t>，实现工业企业厂房竣工一幢、验收一幢、登记一幢、抵押一幢。适用于龙港市以出让方式取得土地的</w:t>
      </w:r>
      <w:r>
        <w:rPr>
          <w:rFonts w:hint="eastAsia" w:ascii="仿宋_GB2312" w:hAnsi="仿宋_GB2312" w:eastAsia="仿宋_GB2312" w:cs="仿宋_GB2312"/>
          <w:color w:val="auto"/>
          <w:sz w:val="32"/>
          <w:szCs w:val="32"/>
          <w:highlight w:val="none"/>
          <w:lang w:val="en-US" w:eastAsia="zh-CN"/>
        </w:rPr>
        <w:t>新建工业企业项目</w:t>
      </w:r>
      <w:r>
        <w:rPr>
          <w:rFonts w:hint="eastAsia" w:ascii="仿宋_GB2312" w:hAnsi="仿宋_GB2312" w:eastAsia="仿宋_GB2312" w:cs="仿宋_GB2312"/>
          <w:color w:val="auto"/>
          <w:sz w:val="32"/>
          <w:szCs w:val="32"/>
          <w:highlight w:val="none"/>
        </w:rPr>
        <w:t>。但以下工程建设项目不适用：</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1.涉及易燃易爆危险品、危险化学品的生产和储存或者技术难度特别复杂的项目；</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2.事关国家安全和生态安全、涉及重大公共利益的建设项目；</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3.须特殊管理的建设项目。</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五</w:t>
      </w:r>
      <w:r>
        <w:rPr>
          <w:rFonts w:hint="eastAsia" w:ascii="楷体_GB2312" w:hAnsi="楷体_GB2312" w:eastAsia="楷体_GB2312" w:cs="楷体_GB2312"/>
          <w:color w:val="auto"/>
          <w:sz w:val="32"/>
          <w:szCs w:val="32"/>
          <w:highlight w:val="none"/>
        </w:rPr>
        <w:t>）“竣工即领证。</w:t>
      </w:r>
      <w:r>
        <w:rPr>
          <w:rFonts w:hint="eastAsia" w:ascii="仿宋_GB2312" w:hAnsi="仿宋_GB2312" w:eastAsia="仿宋_GB2312" w:cs="仿宋_GB2312"/>
          <w:color w:val="auto"/>
          <w:sz w:val="32"/>
          <w:szCs w:val="32"/>
          <w:highlight w:val="none"/>
        </w:rPr>
        <w:t>投资项目通过各职能部门的协作、项目数据集成共享、行政审批流程再造等路径，实现竣工验收与不动产登记同步办理，项目竣工验收通过后即可领取不动产权证。适用于全市范围内所有的投资项目。</w:t>
      </w:r>
    </w:p>
    <w:p>
      <w:pPr>
        <w:keepNext w:val="0"/>
        <w:keepLines w:val="0"/>
        <w:pageBreakBefore w:val="0"/>
        <w:wordWrap/>
        <w:overflowPunct/>
        <w:topLinePunct w:val="0"/>
        <w:bidi w:val="0"/>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三、改革措施和办理方式</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color w:val="auto"/>
          <w:sz w:val="32"/>
          <w:szCs w:val="32"/>
          <w:highlight w:val="none"/>
        </w:rPr>
        <w:t>依托我市实施相对集中许可权，审批主体高度集成优势，综合运用模拟审批、承诺审批、容缺审批、分段审批、联测联验等制度，实行设定范围的投资项目“一机构、一枚章、一件事、一次办”改革模式，以此缩短</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rPr>
        <w:t>办理投资项目的审批周期，助力企业快融资、多融资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提高政府部门的行政效率，履行好政府的承诺。</w:t>
      </w:r>
    </w:p>
    <w:p>
      <w:pPr>
        <w:keepNext w:val="0"/>
        <w:keepLines w:val="0"/>
        <w:pageBreakBefore w:val="0"/>
        <w:wordWrap/>
        <w:overflowPunct/>
        <w:topLinePunct w:val="0"/>
        <w:bidi w:val="0"/>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（一）“拿地即开工”按以下实施要求及流程办理：</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前期准备阶段。在土地挂牌期间，通过资格审查准入的意向企业利用出让公告期，事先委托技术单位编制相应设计文本，凭“拿地即开工”申请表、拿地即开工”承诺书、《规划设计方案》向行政审批局项目投资审批受理窗口申请。</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方案审查阶段。经市行政审批局受理后，由市行政审批局组织经发、资源与建设、执法、交警、应急、新城等相关部门先行对设计方案进行审查并出具审查意见汇总表，企业根据部门意见修改并报行政审批局确认同意后，由市行政审批局出具同意设计方案的模拟审查意见。企业在取得同意意见后即开展施工图设计。</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合同签订阶段。在业主签订土地成交确认书后，市行政审批局当天受理赋码，不再开展设计方案审查，直接凭土地成交确认书将市行政审批局牵头审定的方案进行建设工程规划许可批前公示，市行政审批局会同相关部门同步开展备案等前期审查工作。业主同步按要求签订土地出让合同。</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许可核发阶段。业主签订土地出让合同的当天，业主凭申请表、土地合同、环评报告、水土保持方案、设计方案或施工图等材料向市行政审批局申请项目备案、用地规划许可、设计方案批复、工程规划许可、施工许可、环评、水土保持方案、人防工程建设核实等事项。市行政审批局在1个工作日内予以办理并颁发上述许可证件。</w:t>
      </w:r>
    </w:p>
    <w:p>
      <w:pPr>
        <w:keepNext w:val="0"/>
        <w:keepLines w:val="0"/>
        <w:pageBreakBefore w:val="0"/>
        <w:wordWrap/>
        <w:overflowPunct/>
        <w:topLinePunct w:val="0"/>
        <w:bidi w:val="0"/>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w:t>
      </w:r>
      <w:r>
        <w:rPr>
          <w:rFonts w:hint="eastAsia" w:ascii="楷体_GB2312" w:hAnsi="楷体_GB2312" w:eastAsia="楷体_GB2312" w:cs="楷体_GB2312"/>
          <w:color w:val="auto"/>
          <w:sz w:val="32"/>
          <w:szCs w:val="32"/>
          <w:highlight w:val="none"/>
          <w:lang w:eastAsia="zh-CN"/>
        </w:rPr>
        <w:t>报备即接入</w:t>
      </w:r>
      <w:r>
        <w:rPr>
          <w:rFonts w:hint="eastAsia" w:ascii="楷体_GB2312" w:hAnsi="楷体_GB2312" w:eastAsia="楷体_GB2312" w:cs="楷体_GB2312"/>
          <w:color w:val="auto"/>
          <w:sz w:val="32"/>
          <w:szCs w:val="32"/>
          <w:highlight w:val="none"/>
        </w:rPr>
        <w:t>”按以下实施要求及流程办理：</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1．组织实施要求</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（1）加快项目审批，推广承诺备案。限施工长度在200米内的外线工程，供水、供电、供气企业按规范要求</w:t>
      </w:r>
      <w:r>
        <w:rPr>
          <w:rFonts w:hint="eastAsia" w:ascii="仿宋_GB2312" w:hAnsi="仿宋_GB2312" w:eastAsia="仿宋_GB2312" w:cs="仿宋_GB2312"/>
          <w:color w:val="auto"/>
          <w:sz w:val="32"/>
          <w:szCs w:val="32"/>
          <w:highlight w:val="none"/>
          <w:lang w:val="en-US" w:eastAsia="zh-CN"/>
        </w:rPr>
        <w:t>向</w:t>
      </w:r>
      <w:r>
        <w:rPr>
          <w:rFonts w:hint="eastAsia" w:ascii="仿宋_GB2312" w:hAnsi="仿宋_GB2312" w:eastAsia="仿宋_GB2312" w:cs="仿宋_GB2312"/>
          <w:color w:val="auto"/>
          <w:sz w:val="32"/>
          <w:szCs w:val="32"/>
          <w:highlight w:val="none"/>
        </w:rPr>
        <w:t>企业提供施工方案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供电供气项目方案需由具备相应资质的设计单位出图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及书面承诺报窗口备案或通过网上申报备案，由市行政审批局推送信息给各相关部门，企业</w:t>
      </w:r>
      <w:r>
        <w:rPr>
          <w:rFonts w:hint="eastAsia" w:ascii="仿宋_GB2312" w:hAnsi="仿宋_GB2312" w:eastAsia="仿宋_GB2312" w:cs="仿宋_GB2312"/>
          <w:color w:val="auto"/>
          <w:sz w:val="32"/>
          <w:szCs w:val="32"/>
          <w:highlight w:val="none"/>
          <w:lang w:val="en-US" w:eastAsia="zh-CN"/>
        </w:rPr>
        <w:t>可</w:t>
      </w:r>
      <w:r>
        <w:rPr>
          <w:rFonts w:hint="eastAsia" w:ascii="仿宋_GB2312" w:hAnsi="仿宋_GB2312" w:eastAsia="仿宋_GB2312" w:cs="仿宋_GB2312"/>
          <w:color w:val="auto"/>
          <w:sz w:val="32"/>
          <w:szCs w:val="32"/>
          <w:highlight w:val="none"/>
        </w:rPr>
        <w:t>直接组织施工。如工程技术简单和施工方案简便的，在确保施工过程不影响道路通行或交通安全情况下，可直接组织施工；穿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越、占用、挖掘道路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高速公路、普通国、省道、城市主干道、流量大的次干道除外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施工，破绿施工，承诺破路、破绿恢复不低于原设计标准后，同时确保施工过程不影响道路通行和交通安全，可直接组织施工。</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）建立信用体系，加强事后监管。市行政审批局通过“浙龙e管”将相关信息传送监管部门，发现未按有关建设标准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条件、要求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操作、施工的，</w:t>
      </w:r>
      <w:r>
        <w:rPr>
          <w:rFonts w:hint="eastAsia" w:ascii="仿宋_GB2312" w:hAnsi="仿宋_GB2312" w:eastAsia="仿宋_GB2312" w:cs="仿宋_GB2312"/>
          <w:color w:val="auto"/>
          <w:sz w:val="32"/>
          <w:szCs w:val="32"/>
          <w:highlight w:val="none"/>
          <w:lang w:val="en-US" w:eastAsia="zh-CN"/>
        </w:rPr>
        <w:t>由</w:t>
      </w:r>
      <w:r>
        <w:rPr>
          <w:rFonts w:hint="eastAsia" w:ascii="仿宋_GB2312" w:hAnsi="仿宋_GB2312" w:eastAsia="仿宋_GB2312" w:cs="仿宋_GB2312"/>
          <w:color w:val="auto"/>
          <w:sz w:val="32"/>
          <w:szCs w:val="32"/>
          <w:highlight w:val="none"/>
        </w:rPr>
        <w:t>监管部门责令改正，依法给予处罚，并记入失信档案。</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2．具体流程办理</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一窗受理。由市行政审批局牵头，在政务客厅投资项目服务专区设置投资项目</w:t>
      </w:r>
      <w:r>
        <w:rPr>
          <w:rFonts w:hint="eastAsia" w:ascii="仿宋_GB2312" w:hAnsi="仿宋_GB2312" w:eastAsia="仿宋_GB2312" w:cs="仿宋_GB2312"/>
          <w:color w:val="auto"/>
          <w:sz w:val="32"/>
          <w:szCs w:val="32"/>
          <w:highlight w:val="none"/>
          <w:lang w:eastAsia="zh-CN"/>
        </w:rPr>
        <w:t>市政公用</w:t>
      </w:r>
      <w:r>
        <w:rPr>
          <w:rFonts w:hint="eastAsia" w:ascii="仿宋_GB2312" w:hAnsi="仿宋_GB2312" w:eastAsia="仿宋_GB2312" w:cs="仿宋_GB2312"/>
          <w:color w:val="auto"/>
          <w:sz w:val="32"/>
          <w:szCs w:val="32"/>
          <w:highlight w:val="none"/>
        </w:rPr>
        <w:t>设施“</w:t>
      </w:r>
      <w:r>
        <w:rPr>
          <w:rFonts w:hint="eastAsia" w:ascii="仿宋_GB2312" w:hAnsi="仿宋_GB2312" w:eastAsia="仿宋_GB2312" w:cs="仿宋_GB2312"/>
          <w:color w:val="auto"/>
          <w:sz w:val="32"/>
          <w:szCs w:val="32"/>
          <w:highlight w:val="none"/>
          <w:lang w:eastAsia="zh-CN"/>
        </w:rPr>
        <w:t>报备即接入</w:t>
      </w:r>
      <w:r>
        <w:rPr>
          <w:rFonts w:hint="eastAsia" w:ascii="仿宋_GB2312" w:hAnsi="仿宋_GB2312" w:eastAsia="仿宋_GB2312" w:cs="仿宋_GB2312"/>
          <w:color w:val="auto"/>
          <w:sz w:val="32"/>
          <w:szCs w:val="32"/>
          <w:highlight w:val="none"/>
        </w:rPr>
        <w:t>”服务</w:t>
      </w:r>
      <w:r>
        <w:rPr>
          <w:rFonts w:hint="eastAsia" w:ascii="仿宋_GB2312" w:hAnsi="仿宋_GB2312" w:eastAsia="仿宋_GB2312" w:cs="仿宋_GB2312"/>
          <w:color w:val="auto"/>
          <w:sz w:val="32"/>
          <w:szCs w:val="32"/>
          <w:highlight w:val="none"/>
          <w:lang w:val="en-US" w:eastAsia="zh-CN"/>
        </w:rPr>
        <w:t>专窗</w:t>
      </w:r>
      <w:r>
        <w:rPr>
          <w:rFonts w:hint="eastAsia" w:ascii="仿宋_GB2312" w:hAnsi="仿宋_GB2312" w:eastAsia="仿宋_GB2312" w:cs="仿宋_GB2312"/>
          <w:color w:val="auto"/>
          <w:sz w:val="32"/>
          <w:szCs w:val="32"/>
          <w:highlight w:val="none"/>
        </w:rPr>
        <w:t>，企业同步提交供水、供电、供气等</w:t>
      </w:r>
      <w:r>
        <w:rPr>
          <w:rFonts w:hint="eastAsia" w:ascii="仿宋_GB2312" w:hAnsi="仿宋_GB2312" w:eastAsia="仿宋_GB2312" w:cs="仿宋_GB2312"/>
          <w:color w:val="auto"/>
          <w:sz w:val="32"/>
          <w:szCs w:val="32"/>
          <w:highlight w:val="none"/>
          <w:lang w:eastAsia="zh-CN"/>
        </w:rPr>
        <w:t>市政公用</w:t>
      </w:r>
      <w:r>
        <w:rPr>
          <w:rFonts w:hint="eastAsia" w:ascii="仿宋_GB2312" w:hAnsi="仿宋_GB2312" w:eastAsia="仿宋_GB2312" w:cs="仿宋_GB2312"/>
          <w:color w:val="auto"/>
          <w:sz w:val="32"/>
          <w:szCs w:val="32"/>
          <w:highlight w:val="none"/>
        </w:rPr>
        <w:t>设施接入需求，在规划许可阶段，统一受理供水、供电、供气部门或用户提交的审批申请材料。</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材料初审。窗口受理申请后，由审批科室负责项目资料初审，牵头提出工程涉及的许可事项和审批部门,并出具是否受理的意见。若不涉及审批事项的，由服务专区直接推送信息给供水、供电、供气等市政公用服务部门，由相应部门提前介入服务，给予项目技术指导。</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）联合审查。初审通过后，市行政审批局牵头组织资规、交通、供水、供电、供气部门开展联合审查，确定最优的施工方案，由各部门现场会签确认。部门未派人参与的视为同意。</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）联合审批。根据联合审查情况，由市行政审批局汇总相关部门关于</w:t>
      </w:r>
      <w:r>
        <w:rPr>
          <w:rFonts w:hint="eastAsia" w:ascii="仿宋_GB2312" w:hAnsi="仿宋_GB2312" w:eastAsia="仿宋_GB2312" w:cs="仿宋_GB2312"/>
          <w:color w:val="auto"/>
          <w:sz w:val="32"/>
          <w:szCs w:val="32"/>
          <w:highlight w:val="none"/>
          <w:lang w:val="en-US" w:eastAsia="zh-CN"/>
        </w:rPr>
        <w:t>涉路</w:t>
      </w:r>
      <w:r>
        <w:rPr>
          <w:rFonts w:hint="eastAsia" w:ascii="仿宋_GB2312" w:hAnsi="仿宋_GB2312" w:eastAsia="仿宋_GB2312" w:cs="仿宋_GB2312"/>
          <w:color w:val="auto"/>
          <w:sz w:val="32"/>
          <w:szCs w:val="32"/>
          <w:highlight w:val="none"/>
        </w:rPr>
        <w:t>规划和施工方案联合审查的意见。按照“以审代批”原则，相关部门联合审查出具的意见中若未出现违反国家行业强制性规范要求的意见，则由市行政审批局直接出具审批意见，原则同意由供水、供电、供气企业或客户承诺限时自行调整施工方案后，允许开始组织施工，不再进行联合审查。若有涉及违反国家行业强制性规范要求的意见，须待供水、供电、供气部门或客户根据反馈意见完成施工方案调整后，再提交联合审批。</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）检验报装。项目完成有关设施建设后，供水、供电、供气等相应部门可以直接办理检验，完成接入事宜，</w:t>
      </w:r>
      <w:r>
        <w:rPr>
          <w:rFonts w:hint="eastAsia" w:ascii="仿宋_GB2312" w:hAnsi="仿宋_GB2312" w:eastAsia="仿宋_GB2312" w:cs="仿宋_GB2312"/>
          <w:color w:val="auto"/>
          <w:sz w:val="32"/>
          <w:szCs w:val="32"/>
          <w:highlight w:val="none"/>
          <w:lang w:val="en-US" w:eastAsia="zh-CN"/>
        </w:rPr>
        <w:t>确保项目开工前或使用前，</w:t>
      </w:r>
      <w:r>
        <w:rPr>
          <w:rFonts w:hint="eastAsia" w:ascii="仿宋_GB2312" w:hAnsi="仿宋_GB2312" w:eastAsia="仿宋_GB2312" w:cs="仿宋_GB2312"/>
          <w:color w:val="auto"/>
          <w:sz w:val="32"/>
          <w:szCs w:val="32"/>
          <w:highlight w:val="none"/>
        </w:rPr>
        <w:t>水、电、气</w:t>
      </w:r>
      <w:r>
        <w:rPr>
          <w:rFonts w:hint="eastAsia" w:ascii="仿宋_GB2312" w:hAnsi="仿宋_GB2312" w:eastAsia="仿宋_GB2312" w:cs="仿宋_GB2312"/>
          <w:color w:val="auto"/>
          <w:sz w:val="32"/>
          <w:szCs w:val="32"/>
          <w:highlight w:val="none"/>
          <w:lang w:val="en-US" w:eastAsia="zh-CN"/>
        </w:rPr>
        <w:t>可即时</w:t>
      </w:r>
      <w:r>
        <w:rPr>
          <w:rFonts w:hint="eastAsia" w:ascii="仿宋_GB2312" w:hAnsi="仿宋_GB2312" w:eastAsia="仿宋_GB2312" w:cs="仿宋_GB2312"/>
          <w:color w:val="auto"/>
          <w:sz w:val="32"/>
          <w:szCs w:val="32"/>
          <w:highlight w:val="none"/>
        </w:rPr>
        <w:t>投入使用。</w:t>
      </w:r>
    </w:p>
    <w:p>
      <w:pPr>
        <w:keepNext w:val="0"/>
        <w:keepLines w:val="0"/>
        <w:pageBreakBefore w:val="0"/>
        <w:wordWrap/>
        <w:overflowPunct/>
        <w:topLinePunct w:val="0"/>
        <w:bidi w:val="0"/>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（三）“预验即投用”按以下实施要求及流程办理：</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1.组织实施要求</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（1）项目建设阶段中相关部门要加强监督和指导，应根据投资建设项目的实际情况，对验收流程、组织形式、验收内容、评定标准、监督方式及各方主体的职责进行指导，督促业主单位严格按照工程规范落实。</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加强“浙里工程建设现场管控”（以下简称“浙里建”）系统的运用，推进工程建设全过程数字化图纸等数据共享和联动配合，实现各参建单位间、监管部门间、参建单位和监管部门间在工程建设项目监管、验收、服务方面的业务协同，提高监管的便捷性和精准性。</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工业厂房建设项目原则上达到温州市级标化工地条件下可采取分栋、分层验收方式，参与建设的各方主体对砼龄期已达到要求的部位，做到成熟一段、检测一段、验收一段，工业厂房在结构尚未封顶的情况下，可在相关部门的监督下对已完工楼层组织预验收，验收合格即可开展对应部位的后续施工或开展二次装修，确保房屋主体结顶后快速通过主体结构验收。</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在工程项目的预验收阶段，应最大限度地压缩资料审查内容，对电梯、智能设备、高压设备（继电保护）等检测时限较长的专项检测报告及竣工验收资料实行承诺容缺制，先行组织预验收，在竣工验收前应补齐相关资料。</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（5）在申请竣工预验收前，业主单位应签署预验收相关承诺书，明确业主单位权利义务，相关部门在根据承诺内容加强全程服务和事中事后监管，确保项目质量安全。</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2.具体流程办理</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（1）项目业主根据项目建设实际情况，原则上达到温州市级标化工地条件后，可申请单幢部分、单幢、分批或全部厂房主体结构验收。</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业主完成主体结构后可向市行政审批局申请竣工预验收。市行政审批局应在收到企业申请后2个工作日内组织竣工预验收。各方根据验收情况符合要求予以出具预验收意见，不符合要求的提出整改意见，并督促施工单位限期完成整改，整改完成后报</w:t>
      </w:r>
      <w:r>
        <w:rPr>
          <w:rFonts w:hint="eastAsia" w:ascii="仿宋_GB2312" w:hAnsi="仿宋_GB2312" w:eastAsia="仿宋_GB2312" w:cs="仿宋_GB2312"/>
          <w:color w:val="auto"/>
          <w:sz w:val="32"/>
          <w:szCs w:val="32"/>
          <w:highlight w:val="none"/>
          <w:lang w:val="en-US" w:eastAsia="zh-CN"/>
        </w:rPr>
        <w:t>相关</w:t>
      </w:r>
      <w:r>
        <w:rPr>
          <w:rFonts w:hint="eastAsia" w:ascii="仿宋_GB2312" w:hAnsi="仿宋_GB2312" w:eastAsia="仿宋_GB2312" w:cs="仿宋_GB2312"/>
          <w:color w:val="auto"/>
          <w:sz w:val="32"/>
          <w:szCs w:val="32"/>
          <w:highlight w:val="none"/>
        </w:rPr>
        <w:t>部门进行复核，复核通过的予以出具预验收意见。</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（3）通过竣工预验收后，在符合安全生产条件的情况下，在业主单位承诺保证不变动主体结构、平面布局和使用功能的前提下，允许业主单位提前进行试生产投用，行业主管部门提前介入安全生产监管。</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（4）在建设工程整体完成后，业主单位应及时向相关部门申请联合竣工验收。在符合安全生产条件的情况下，且业主单位未对承诺内容作出改变的，竣工预验收意见作为最终竣工验收的重要依据。</w:t>
      </w:r>
    </w:p>
    <w:p>
      <w:pPr>
        <w:keepNext w:val="0"/>
        <w:keepLines w:val="0"/>
        <w:pageBreakBefore w:val="0"/>
        <w:wordWrap/>
        <w:overflowPunct/>
        <w:topLinePunct w:val="0"/>
        <w:bidi w:val="0"/>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四</w:t>
      </w:r>
      <w:r>
        <w:rPr>
          <w:rFonts w:hint="eastAsia" w:ascii="楷体_GB2312" w:hAnsi="楷体_GB2312" w:eastAsia="楷体_GB2312" w:cs="楷体_GB2312"/>
          <w:color w:val="auto"/>
          <w:sz w:val="32"/>
          <w:szCs w:val="32"/>
          <w:highlight w:val="none"/>
        </w:rPr>
        <w:t>）“分验即融资”按以下实施要求及流程办理：</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1．开展单位工程单独竣工联合验收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根据工业企业需求申请，企业提交单位工程有关消防验收材料、竣工测绘成果、质量验收报告和相关检测资料等材料，由市行政审批局综合受理并牵头组织市自然资源与规划建设局等部门组成联合验收小组，对工业企业项目已满足使用功能的单位工程开展单独竣工联合验收，单位工程满足消防、规划、质量要求的予以办理分期验收手续，联合小组各成员单位按各自职能分别出具单位工程单独竣工规划验收意见、消防验收意见和质量监督意见。待全部工程完工后，各部门给予组织最后一期单位工程和附属配套工程竣工联合验收，核查总体技术指标，给予办理正式竣工联合验收和竣工备案手续，对于已完成单位工程单独竣工验收的内容不再核查。</w:t>
      </w:r>
    </w:p>
    <w:p>
      <w:pPr>
        <w:keepNext w:val="0"/>
        <w:keepLines w:val="0"/>
        <w:pageBreakBefore w:val="0"/>
        <w:wordWrap/>
        <w:overflowPunct/>
        <w:topLinePunct w:val="0"/>
        <w:bidi w:val="0"/>
        <w:spacing w:line="560" w:lineRule="exact"/>
        <w:ind w:firstLine="640" w:firstLineChars="200"/>
        <w:rPr>
          <w:rFonts w:hint="default"/>
          <w:color w:val="auto"/>
          <w:lang w:val="en-US" w:eastAsia="zh-CN"/>
        </w:rPr>
      </w:pPr>
      <w:r>
        <w:rPr>
          <w:rFonts w:hint="eastAsia" w:ascii="仿宋_GB2312" w:hAnsi="仿宋_GB2312" w:eastAsia="仿宋_GB2312" w:cs="仿宋_GB2312"/>
          <w:color w:val="auto"/>
          <w:sz w:val="32"/>
          <w:szCs w:val="32"/>
          <w:highlight w:val="none"/>
        </w:rPr>
        <w:t>2．开展不动产权分期登记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市自然资源与规划建设局对</w:t>
      </w:r>
      <w:r>
        <w:rPr>
          <w:rFonts w:hint="eastAsia" w:ascii="仿宋_GB2312" w:hAnsi="仿宋_GB2312" w:eastAsia="仿宋_GB2312" w:cs="仿宋_GB2312"/>
          <w:color w:val="auto"/>
          <w:sz w:val="32"/>
          <w:szCs w:val="32"/>
          <w:highlight w:val="none"/>
          <w:lang w:val="en-US" w:eastAsia="zh-CN"/>
        </w:rPr>
        <w:t>分期</w:t>
      </w:r>
      <w:r>
        <w:rPr>
          <w:rFonts w:hint="eastAsia" w:ascii="仿宋_GB2312" w:hAnsi="仿宋_GB2312" w:eastAsia="仿宋_GB2312" w:cs="仿宋_GB2312"/>
          <w:color w:val="auto"/>
          <w:sz w:val="32"/>
          <w:szCs w:val="32"/>
          <w:highlight w:val="none"/>
        </w:rPr>
        <w:t>取得单位工程竣工验收意见的</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rPr>
        <w:t>给予办理不动产权分期登记，牵头协调工业企业、金融机构和相关部门，同步办理在建工程抵押转为不动产权抵押</w:t>
      </w:r>
      <w:r>
        <w:rPr>
          <w:rFonts w:hint="eastAsia" w:ascii="仿宋_GB2312" w:hAnsi="仿宋_GB2312" w:eastAsia="仿宋_GB2312" w:cs="仿宋_GB2312"/>
          <w:color w:val="auto"/>
          <w:sz w:val="32"/>
          <w:szCs w:val="32"/>
          <w:highlight w:val="none"/>
          <w:lang w:val="en-US" w:eastAsia="zh-CN"/>
        </w:rPr>
        <w:t>登记</w:t>
      </w:r>
      <w:r>
        <w:rPr>
          <w:rFonts w:hint="eastAsia" w:ascii="仿宋_GB2312" w:hAnsi="仿宋_GB2312" w:eastAsia="仿宋_GB2312" w:cs="仿宋_GB2312"/>
          <w:color w:val="auto"/>
          <w:sz w:val="32"/>
          <w:szCs w:val="32"/>
          <w:highlight w:val="none"/>
        </w:rPr>
        <w:t>等业务，</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color w:val="auto"/>
          <w:sz w:val="32"/>
          <w:szCs w:val="32"/>
          <w:highlight w:val="none"/>
        </w:rPr>
        <w:t>同步颁发不动产权证和</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highlight w:val="none"/>
        </w:rPr>
        <w:t>抵押不动产登记证明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企业在取得后期工程的相关竣工验收意见后，可凭原不动产权证书等相关材料办理不动产权证变更和（或）抵押权变更登记。</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3．开展工业产权顺位抵押登记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工业企业可根据分期登记的不动产权资产抵押物价值增加而另行向</w:t>
      </w:r>
      <w:r>
        <w:rPr>
          <w:rFonts w:hint="eastAsia" w:ascii="仿宋_GB2312" w:hAnsi="仿宋_GB2312" w:eastAsia="仿宋_GB2312" w:cs="仿宋_GB2312"/>
          <w:color w:val="auto"/>
          <w:sz w:val="32"/>
          <w:szCs w:val="32"/>
          <w:highlight w:val="none"/>
          <w:lang w:val="en-US" w:eastAsia="zh-CN"/>
        </w:rPr>
        <w:t>不同的</w:t>
      </w:r>
      <w:r>
        <w:rPr>
          <w:rFonts w:hint="eastAsia" w:ascii="仿宋_GB2312" w:hAnsi="仿宋_GB2312" w:eastAsia="仿宋_GB2312" w:cs="仿宋_GB2312"/>
          <w:color w:val="auto"/>
          <w:sz w:val="32"/>
          <w:szCs w:val="32"/>
          <w:highlight w:val="none"/>
        </w:rPr>
        <w:t>金融机构申请融资贷款，市</w:t>
      </w:r>
      <w:r>
        <w:rPr>
          <w:rFonts w:hint="eastAsia" w:ascii="仿宋_GB2312" w:hAnsi="仿宋_GB2312" w:eastAsia="仿宋_GB2312" w:cs="仿宋_GB2312"/>
          <w:color w:val="auto"/>
          <w:sz w:val="32"/>
          <w:szCs w:val="32"/>
          <w:highlight w:val="none"/>
          <w:lang w:val="en-US" w:eastAsia="zh-CN"/>
        </w:rPr>
        <w:t>经济发展</w:t>
      </w:r>
      <w:r>
        <w:rPr>
          <w:rFonts w:hint="eastAsia" w:ascii="仿宋_GB2312" w:hAnsi="仿宋_GB2312" w:eastAsia="仿宋_GB2312" w:cs="仿宋_GB2312"/>
          <w:color w:val="auto"/>
          <w:sz w:val="32"/>
          <w:szCs w:val="32"/>
          <w:highlight w:val="none"/>
        </w:rPr>
        <w:t>局协调金融机构予以支持工业企业融资需求，市自然资源与规划建设局根据工业企业和金融机构申请给予办理顺位抵押登记。</w:t>
      </w:r>
    </w:p>
    <w:p>
      <w:pPr>
        <w:keepNext w:val="0"/>
        <w:keepLines w:val="0"/>
        <w:pageBreakBefore w:val="0"/>
        <w:wordWrap/>
        <w:overflowPunct/>
        <w:topLinePunct w:val="0"/>
        <w:bidi w:val="0"/>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五</w:t>
      </w:r>
      <w:r>
        <w:rPr>
          <w:rFonts w:hint="eastAsia" w:ascii="楷体_GB2312" w:hAnsi="楷体_GB2312" w:eastAsia="楷体_GB2312" w:cs="楷体_GB2312"/>
          <w:color w:val="auto"/>
          <w:sz w:val="32"/>
          <w:szCs w:val="32"/>
          <w:highlight w:val="none"/>
        </w:rPr>
        <w:t>）“竣工即领证”按以下实施要求及流程办理：</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1．企业申报。投资项目竣工并满足联合验收基本条件后，建设单位申请项目联合验收，市行政审批局应组织相关部门组建服务专班，全程开展指导服务。</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联合验收。市行政审批局应组织参验部门开展现场联合验收，汇总联合验收意见反馈建设单位。各参验部门的验收事项已经符合要求的，无需等待其他事项审批结果，通过3.0平台直接办结并出具审批结果；本部门审查内容已经符合要求但其他部门</w:t>
      </w:r>
      <w:r>
        <w:rPr>
          <w:rFonts w:hint="eastAsia" w:ascii="仿宋_GB2312" w:hAnsi="仿宋_GB2312" w:eastAsia="仿宋_GB2312" w:cs="仿宋_GB2312"/>
          <w:color w:val="auto"/>
          <w:sz w:val="32"/>
          <w:szCs w:val="32"/>
          <w:highlight w:val="none"/>
          <w:lang w:val="en-US" w:eastAsia="zh-CN"/>
        </w:rPr>
        <w:t>前置</w:t>
      </w:r>
      <w:r>
        <w:rPr>
          <w:rFonts w:hint="eastAsia" w:ascii="仿宋_GB2312" w:hAnsi="仿宋_GB2312" w:eastAsia="仿宋_GB2312" w:cs="仿宋_GB2312"/>
          <w:color w:val="auto"/>
          <w:sz w:val="32"/>
          <w:szCs w:val="32"/>
          <w:highlight w:val="none"/>
        </w:rPr>
        <w:t>验收结果尚未出具的，可按其他部门通过验收的情形先完成内部审批流程，待其他部门出具的验收合格结果文书（证照）通过3.0平台补齐后，立即办结验收事项。</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不动产登记。不动产权籍调查与项目竣工验收并联开展，不动产权籍调查数据符合标准的，不动产登记中心即时完成不动产权籍调查成果入库。各验收事项全部办结后，项目业主向不动产登记中心申请办理不动产登记，不动产登记中心在1个工作日内完成不动产证登记。</w:t>
      </w:r>
    </w:p>
    <w:p>
      <w:pPr>
        <w:keepNext w:val="0"/>
        <w:keepLines w:val="0"/>
        <w:pageBreakBefore w:val="0"/>
        <w:wordWrap/>
        <w:overflowPunct/>
        <w:topLinePunct w:val="0"/>
        <w:bidi w:val="0"/>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（一）加强组织领导。</w:t>
      </w:r>
      <w:r>
        <w:rPr>
          <w:rFonts w:hint="eastAsia" w:ascii="仿宋_GB2312" w:hAnsi="仿宋_GB2312" w:eastAsia="仿宋_GB2312" w:cs="仿宋_GB2312"/>
          <w:color w:val="auto"/>
          <w:sz w:val="32"/>
          <w:szCs w:val="32"/>
          <w:highlight w:val="none"/>
        </w:rPr>
        <w:t>各有关单位要高度重视推行</w:t>
      </w:r>
      <w:r>
        <w:rPr>
          <w:rFonts w:hint="eastAsia" w:ascii="仿宋_GB2312" w:hAnsi="仿宋_GB2312" w:eastAsia="仿宋_GB2312" w:cs="仿宋_GB2312"/>
          <w:color w:val="auto"/>
          <w:sz w:val="32"/>
          <w:szCs w:val="32"/>
          <w:highlight w:val="none"/>
          <w:lang w:eastAsia="zh-CN"/>
        </w:rPr>
        <w:t>投资项目“一件事”向“一类事”提升</w:t>
      </w:r>
      <w:r>
        <w:rPr>
          <w:rFonts w:hint="eastAsia" w:ascii="仿宋_GB2312" w:hAnsi="仿宋_GB2312" w:eastAsia="仿宋_GB2312" w:cs="仿宋_GB2312"/>
          <w:color w:val="auto"/>
          <w:sz w:val="32"/>
          <w:szCs w:val="32"/>
          <w:highlight w:val="none"/>
        </w:rPr>
        <w:t>，进一步加强组织领导，细化各项工作措施；市行政审批局做好“拿地即开工”</w:t>
      </w:r>
      <w:r>
        <w:rPr>
          <w:rFonts w:hint="eastAsia" w:ascii="仿宋_GB2312" w:hAnsi="仿宋_GB2312" w:eastAsia="仿宋_GB2312" w:cs="仿宋_GB2312"/>
          <w:color w:val="auto"/>
          <w:sz w:val="32"/>
          <w:szCs w:val="32"/>
          <w:highlight w:val="none"/>
          <w:lang w:eastAsia="zh-CN"/>
        </w:rPr>
        <w:t>、“报备即接入”</w:t>
      </w:r>
      <w:r>
        <w:rPr>
          <w:rFonts w:hint="eastAsia" w:ascii="仿宋_GB2312" w:hAnsi="仿宋_GB2312" w:eastAsia="仿宋_GB2312" w:cs="仿宋_GB2312"/>
          <w:color w:val="auto"/>
          <w:sz w:val="32"/>
          <w:szCs w:val="32"/>
          <w:highlight w:val="none"/>
        </w:rPr>
        <w:t>、“预验即投用”</w:t>
      </w:r>
      <w:r>
        <w:rPr>
          <w:rFonts w:hint="eastAsia" w:ascii="仿宋_GB2312" w:hAnsi="仿宋_GB2312" w:eastAsia="仿宋_GB2312" w:cs="仿宋_GB2312"/>
          <w:color w:val="auto"/>
          <w:sz w:val="32"/>
          <w:szCs w:val="32"/>
          <w:highlight w:val="none"/>
          <w:lang w:eastAsia="zh-CN"/>
        </w:rPr>
        <w:t>、“分验即融资”</w:t>
      </w:r>
      <w:r>
        <w:rPr>
          <w:rFonts w:hint="eastAsia" w:ascii="仿宋_GB2312" w:hAnsi="仿宋_GB2312" w:eastAsia="仿宋_GB2312" w:cs="仿宋_GB2312"/>
          <w:color w:val="auto"/>
          <w:sz w:val="32"/>
          <w:szCs w:val="32"/>
          <w:highlight w:val="none"/>
        </w:rPr>
        <w:t>及“竣工即领证”牵头组织工作，</w:t>
      </w:r>
      <w:r>
        <w:rPr>
          <w:rFonts w:hint="eastAsia" w:ascii="仿宋_GB2312" w:hAnsi="仿宋_GB2312" w:eastAsia="仿宋_GB2312" w:cs="仿宋_GB2312"/>
          <w:color w:val="auto"/>
          <w:sz w:val="32"/>
          <w:szCs w:val="32"/>
          <w:highlight w:val="none"/>
          <w:lang w:val="en-US" w:eastAsia="zh-CN"/>
        </w:rPr>
        <w:t>制定具体实施方案，</w:t>
      </w:r>
      <w:r>
        <w:rPr>
          <w:rFonts w:hint="eastAsia" w:ascii="仿宋_GB2312" w:hAnsi="仿宋_GB2312" w:eastAsia="仿宋_GB2312" w:cs="仿宋_GB2312"/>
          <w:color w:val="auto"/>
          <w:sz w:val="32"/>
          <w:szCs w:val="32"/>
          <w:highlight w:val="none"/>
        </w:rPr>
        <w:t>按职责做好具体项目相关审批和验收</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工作；市经济发展局做好工业企业项目资格审查和准入</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工作，牵头企业信用评价的应用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协调金融机构做好融资、抵押等工作</w:t>
      </w:r>
      <w:r>
        <w:rPr>
          <w:rFonts w:hint="eastAsia" w:ascii="仿宋_GB2312" w:hAnsi="仿宋_GB2312" w:eastAsia="仿宋_GB2312" w:cs="仿宋_GB2312"/>
          <w:color w:val="auto"/>
          <w:sz w:val="32"/>
          <w:szCs w:val="32"/>
          <w:highlight w:val="none"/>
        </w:rPr>
        <w:t>；市自然资源与规划建设局做好具体项目的</w:t>
      </w:r>
      <w:r>
        <w:rPr>
          <w:rFonts w:hint="eastAsia" w:ascii="仿宋_GB2312" w:hAnsi="仿宋_GB2312" w:eastAsia="仿宋_GB2312" w:cs="仿宋_GB2312"/>
          <w:color w:val="auto"/>
          <w:sz w:val="32"/>
          <w:szCs w:val="32"/>
          <w:highlight w:val="none"/>
          <w:lang w:val="en-US" w:eastAsia="zh-CN"/>
        </w:rPr>
        <w:t>设施许可办理、</w:t>
      </w:r>
      <w:r>
        <w:rPr>
          <w:rFonts w:hint="eastAsia" w:ascii="仿宋_GB2312" w:hAnsi="仿宋_GB2312" w:eastAsia="仿宋_GB2312" w:cs="仿宋_GB2312"/>
          <w:color w:val="auto"/>
          <w:sz w:val="32"/>
          <w:szCs w:val="32"/>
          <w:highlight w:val="none"/>
        </w:rPr>
        <w:t>施工监管、预验收、竣工验收、不动产登记等工作；</w:t>
      </w:r>
      <w:r>
        <w:rPr>
          <w:rFonts w:hint="eastAsia" w:ascii="仿宋_GB2312" w:hAnsi="仿宋_GB2312" w:eastAsia="仿宋_GB2312" w:cs="仿宋_GB2312"/>
          <w:color w:val="auto"/>
          <w:sz w:val="32"/>
          <w:szCs w:val="32"/>
          <w:highlight w:val="none"/>
          <w:lang w:val="en-US" w:eastAsia="zh-CN"/>
        </w:rPr>
        <w:t>市农业农村局做好相关监管工作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市应急管理局做好相关监管工作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市综合行政执法局做好相关监管执法工作；市投资促进中心做好投资项目“一件事”向“一类事”</w:t>
      </w:r>
      <w:r>
        <w:rPr>
          <w:rFonts w:hint="eastAsia" w:ascii="仿宋_GB2312" w:hAnsi="仿宋_GB2312" w:eastAsia="仿宋_GB2312" w:cs="仿宋_GB2312"/>
          <w:color w:val="auto"/>
          <w:sz w:val="32"/>
          <w:szCs w:val="32"/>
          <w:highlight w:val="none"/>
          <w:lang w:val="en-US" w:eastAsia="zh-CN"/>
        </w:rPr>
        <w:t>提升</w:t>
      </w:r>
      <w:r>
        <w:rPr>
          <w:rFonts w:hint="eastAsia" w:ascii="仿宋_GB2312" w:hAnsi="仿宋_GB2312" w:eastAsia="仿宋_GB2312" w:cs="仿宋_GB2312"/>
          <w:color w:val="auto"/>
          <w:sz w:val="32"/>
          <w:szCs w:val="32"/>
          <w:highlight w:val="none"/>
        </w:rPr>
        <w:t>政策宣传和企业引导工作；</w:t>
      </w:r>
      <w:r>
        <w:rPr>
          <w:rFonts w:hint="eastAsia" w:ascii="仿宋_GB2312" w:hAnsi="仿宋_GB2312" w:eastAsia="仿宋_GB2312" w:cs="仿宋_GB2312"/>
          <w:color w:val="auto"/>
          <w:sz w:val="32"/>
          <w:szCs w:val="32"/>
          <w:highlight w:val="none"/>
          <w:lang w:val="en-US" w:eastAsia="zh-CN"/>
        </w:rPr>
        <w:t>公安局交通警察大队做好具体项目的审核等工作；国网浙江省电力有限公司龙港市供电公司、温州公用事业发展集团龙港水务有限公司、供气公司做好受理、审查、装表供电、供水、供气等工作；</w:t>
      </w:r>
      <w:r>
        <w:rPr>
          <w:rFonts w:hint="eastAsia" w:ascii="仿宋_GB2312" w:hAnsi="仿宋_GB2312" w:eastAsia="仿宋_GB2312" w:cs="仿宋_GB2312"/>
          <w:color w:val="auto"/>
          <w:sz w:val="32"/>
          <w:szCs w:val="32"/>
          <w:highlight w:val="none"/>
        </w:rPr>
        <w:t>各行业主管部门负责预验收后后续装修、设备搬入、调试、试生产和投用的安全生产监管工作；相关部门要各司其职，做好建设项目实施的协调、维稳工作，负责各项工作的组织实施和协调监督，按本方案要求落实相关工作。</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（二）强化监管工作。</w:t>
      </w:r>
      <w:r>
        <w:rPr>
          <w:rFonts w:hint="eastAsia" w:ascii="仿宋_GB2312" w:hAnsi="仿宋_GB2312" w:eastAsia="仿宋_GB2312" w:cs="仿宋_GB2312"/>
          <w:color w:val="auto"/>
          <w:sz w:val="32"/>
          <w:szCs w:val="32"/>
          <w:highlight w:val="none"/>
        </w:rPr>
        <w:t>相关部门要按照“谁审批谁监管、谁主管谁监管”的要求加强项目的事中、事后的监管，制定具体的监管办法，加大监督检查的力度，发现问题及时处</w:t>
      </w:r>
      <w:r>
        <w:rPr>
          <w:rFonts w:hint="eastAsia" w:ascii="仿宋_GB2312" w:hAnsi="仿宋_GB2312" w:eastAsia="仿宋_GB2312" w:cs="仿宋_GB2312"/>
          <w:color w:val="auto"/>
          <w:sz w:val="32"/>
          <w:szCs w:val="32"/>
          <w:highlight w:val="none"/>
          <w:lang w:val="en-US" w:eastAsia="zh-CN"/>
        </w:rPr>
        <w:t>置</w:t>
      </w:r>
      <w:r>
        <w:rPr>
          <w:rFonts w:hint="eastAsia" w:ascii="仿宋_GB2312" w:hAnsi="仿宋_GB2312" w:eastAsia="仿宋_GB2312" w:cs="仿宋_GB2312"/>
          <w:color w:val="auto"/>
          <w:sz w:val="32"/>
          <w:szCs w:val="32"/>
          <w:highlight w:val="none"/>
        </w:rPr>
        <w:t>，确保项目安全、风险可控。</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（三）完善诚信体系。</w:t>
      </w:r>
      <w:r>
        <w:rPr>
          <w:rFonts w:hint="eastAsia" w:ascii="仿宋_GB2312" w:hAnsi="仿宋_GB2312" w:eastAsia="仿宋_GB2312" w:cs="仿宋_GB2312"/>
          <w:color w:val="auto"/>
          <w:sz w:val="32"/>
          <w:szCs w:val="32"/>
          <w:highlight w:val="none"/>
        </w:rPr>
        <w:t>建立健全项目信用档案，对承诺行为信息和履约情况进行征集、记录、评价和应用，将企业落实承诺行为信息记入信用档案，并纳入公共征信系统。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（四）实施容错免责。</w:t>
      </w:r>
      <w:r>
        <w:rPr>
          <w:rFonts w:hint="eastAsia" w:ascii="仿宋_GB2312" w:hAnsi="仿宋_GB2312" w:eastAsia="仿宋_GB2312" w:cs="仿宋_GB2312"/>
          <w:color w:val="auto"/>
          <w:sz w:val="32"/>
          <w:szCs w:val="32"/>
          <w:highlight w:val="none"/>
        </w:rPr>
        <w:t>对于积极推进改革工作，但由于改革的不可预见性等不可抗力因素导致出现问题、矛盾的，根据《浙江省保障“最多跑一次”改革规定》、《温州市改革创新容错免责办法（试行）》和《龙港市容错纠错机制实施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试行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》文件精神进行容错免责处理。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val="en-US" w:eastAsia="zh-CN"/>
        </w:rPr>
        <w:t>意见</w:t>
      </w:r>
      <w:r>
        <w:rPr>
          <w:rFonts w:hint="eastAsia" w:ascii="仿宋_GB2312" w:hAnsi="仿宋_GB2312" w:eastAsia="仿宋_GB2312" w:cs="仿宋_GB2312"/>
          <w:color w:val="auto"/>
          <w:sz w:val="32"/>
          <w:szCs w:val="32"/>
          <w:highlight w:val="none"/>
        </w:rPr>
        <w:t>自印发之日起施行。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附件：1.龙港市投资项目“拿地即开工”申请表</w:t>
      </w:r>
    </w:p>
    <w:p>
      <w:pPr>
        <w:keepNext w:val="0"/>
        <w:keepLines w:val="0"/>
        <w:pageBreakBefore w:val="0"/>
        <w:wordWrap/>
        <w:overflowPunct/>
        <w:topLinePunct w:val="0"/>
        <w:bidi w:val="0"/>
        <w:spacing w:line="560" w:lineRule="exact"/>
        <w:ind w:firstLine="1600" w:firstLineChars="5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2.龙港市投资项目“拿地即开工”承诺书</w:t>
      </w:r>
    </w:p>
    <w:p>
      <w:pPr>
        <w:keepNext w:val="0"/>
        <w:keepLines w:val="0"/>
        <w:pageBreakBefore w:val="0"/>
        <w:wordWrap/>
        <w:overflowPunct/>
        <w:topLinePunct w:val="0"/>
        <w:bidi w:val="0"/>
        <w:spacing w:line="560" w:lineRule="exact"/>
        <w:ind w:firstLine="1600" w:firstLineChars="5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3.龙港市投资项目“拿地即开工”设计文本模拟审查意见</w:t>
      </w:r>
    </w:p>
    <w:p>
      <w:pPr>
        <w:keepNext w:val="0"/>
        <w:keepLines w:val="0"/>
        <w:pageBreakBefore w:val="0"/>
        <w:wordWrap/>
        <w:overflowPunct/>
        <w:topLinePunct w:val="0"/>
        <w:bidi w:val="0"/>
        <w:spacing w:line="560" w:lineRule="exact"/>
        <w:ind w:firstLine="1600" w:firstLineChars="5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4.龙港市投资项目竣工预验收必备材料清单</w:t>
      </w:r>
    </w:p>
    <w:p>
      <w:pPr>
        <w:keepNext w:val="0"/>
        <w:keepLines w:val="0"/>
        <w:pageBreakBefore w:val="0"/>
        <w:wordWrap/>
        <w:overflowPunct/>
        <w:topLinePunct w:val="0"/>
        <w:bidi w:val="0"/>
        <w:spacing w:line="560" w:lineRule="exact"/>
        <w:ind w:firstLine="1600" w:firstLineChars="5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5.龙港市投资项目竣工预验收容缺材料清单</w:t>
      </w:r>
    </w:p>
    <w:p>
      <w:pPr>
        <w:keepNext w:val="0"/>
        <w:keepLines w:val="0"/>
        <w:pageBreakBefore w:val="0"/>
        <w:wordWrap/>
        <w:overflowPunct/>
        <w:topLinePunct w:val="0"/>
        <w:bidi w:val="0"/>
        <w:spacing w:line="560" w:lineRule="exact"/>
        <w:ind w:firstLine="1600" w:firstLineChars="5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6.龙港市投资项目“预验即投用”承诺书</w:t>
      </w: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方正小标宋简体" w:hAnsi="方正小标宋简体" w:eastAsia="方正小标宋简体" w:cs="方正小标宋简体"/>
          <w:b w:val="0"/>
          <w:bCs w:val="0"/>
          <w:sz w:val="28"/>
          <w:szCs w:val="28"/>
          <w:highlight w:val="none"/>
          <w:lang w:val="en-US" w:eastAsia="zh-CN"/>
        </w:rPr>
      </w:pPr>
      <w:r>
        <w:rPr>
          <w:rFonts w:hint="eastAsia" w:ascii="方正小标宋简体" w:hAnsi="方正小标宋简体" w:eastAsia="方正小标宋简体" w:cs="方正小标宋简体"/>
          <w:b w:val="0"/>
          <w:bCs w:val="0"/>
          <w:sz w:val="28"/>
          <w:szCs w:val="28"/>
          <w:highlight w:val="none"/>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龙港市投资项目“拿地即开工”申请表</w:t>
      </w:r>
    </w:p>
    <w:p>
      <w:pPr>
        <w:pStyle w:val="2"/>
        <w:keepNext w:val="0"/>
        <w:keepLines w:val="0"/>
        <w:pageBreakBefore w:val="0"/>
        <w:kinsoku/>
        <w:overflowPunct/>
        <w:topLinePunct w:val="0"/>
        <w:bidi w:val="0"/>
        <w:spacing w:line="560" w:lineRule="exact"/>
        <w:rPr>
          <w:rFonts w:hint="eastAsia"/>
          <w:highlight w:val="none"/>
          <w:lang w:val="en-US" w:eastAsia="zh-CN"/>
        </w:rPr>
      </w:pPr>
    </w:p>
    <w:tbl>
      <w:tblPr>
        <w:tblStyle w:val="6"/>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3200"/>
        <w:gridCol w:w="1600"/>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trPr>
        <w:tc>
          <w:tcPr>
            <w:tcW w:w="1997" w:type="dxa"/>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申请</w:t>
            </w:r>
            <w:r>
              <w:rPr>
                <w:rFonts w:hint="eastAsia" w:ascii="仿宋_GB2312" w:hAnsi="仿宋_GB2312" w:eastAsia="仿宋_GB2312" w:cs="仿宋_GB2312"/>
                <w:sz w:val="28"/>
                <w:szCs w:val="28"/>
                <w:highlight w:val="none"/>
                <w:lang w:eastAsia="zh-CN"/>
              </w:rPr>
              <w:t>单位</w:t>
            </w:r>
          </w:p>
        </w:tc>
        <w:tc>
          <w:tcPr>
            <w:tcW w:w="7213" w:type="dxa"/>
            <w:gridSpan w:val="3"/>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法定代表人</w:t>
            </w:r>
          </w:p>
        </w:tc>
        <w:tc>
          <w:tcPr>
            <w:tcW w:w="3200" w:type="dxa"/>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c>
          <w:tcPr>
            <w:tcW w:w="1600" w:type="dxa"/>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联系方式</w:t>
            </w:r>
          </w:p>
        </w:tc>
        <w:tc>
          <w:tcPr>
            <w:tcW w:w="2413" w:type="dxa"/>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exact"/>
        </w:trPr>
        <w:tc>
          <w:tcPr>
            <w:tcW w:w="1997" w:type="dxa"/>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委托代理人</w:t>
            </w:r>
          </w:p>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（选填）</w:t>
            </w:r>
          </w:p>
        </w:tc>
        <w:tc>
          <w:tcPr>
            <w:tcW w:w="3200" w:type="dxa"/>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c>
          <w:tcPr>
            <w:tcW w:w="1600" w:type="dxa"/>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联系方式</w:t>
            </w:r>
          </w:p>
        </w:tc>
        <w:tc>
          <w:tcPr>
            <w:tcW w:w="2413" w:type="dxa"/>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项目名称</w:t>
            </w:r>
          </w:p>
        </w:tc>
        <w:tc>
          <w:tcPr>
            <w:tcW w:w="7213" w:type="dxa"/>
            <w:gridSpan w:val="3"/>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用地位置</w:t>
            </w:r>
          </w:p>
        </w:tc>
        <w:tc>
          <w:tcPr>
            <w:tcW w:w="7213" w:type="dxa"/>
            <w:gridSpan w:val="3"/>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用地性质</w:t>
            </w:r>
          </w:p>
        </w:tc>
        <w:tc>
          <w:tcPr>
            <w:tcW w:w="3200" w:type="dxa"/>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c>
          <w:tcPr>
            <w:tcW w:w="1600" w:type="dxa"/>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用地规模</w:t>
            </w:r>
          </w:p>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c>
          <w:tcPr>
            <w:tcW w:w="2413" w:type="dxa"/>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建设规模</w:t>
            </w:r>
          </w:p>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c>
          <w:tcPr>
            <w:tcW w:w="3200" w:type="dxa"/>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c>
          <w:tcPr>
            <w:tcW w:w="1600" w:type="dxa"/>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投资金额</w:t>
            </w:r>
          </w:p>
        </w:tc>
        <w:tc>
          <w:tcPr>
            <w:tcW w:w="2413" w:type="dxa"/>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Merge w:val="restart"/>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设计单位</w:t>
            </w:r>
          </w:p>
        </w:tc>
        <w:tc>
          <w:tcPr>
            <w:tcW w:w="3200" w:type="dxa"/>
            <w:vMerge w:val="restart"/>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c>
          <w:tcPr>
            <w:tcW w:w="1600" w:type="dxa"/>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联系人</w:t>
            </w:r>
          </w:p>
        </w:tc>
        <w:tc>
          <w:tcPr>
            <w:tcW w:w="2413" w:type="dxa"/>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Merge w:val="continue"/>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c>
          <w:tcPr>
            <w:tcW w:w="3200" w:type="dxa"/>
            <w:vMerge w:val="continue"/>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c>
          <w:tcPr>
            <w:tcW w:w="1600" w:type="dxa"/>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联系电话</w:t>
            </w:r>
          </w:p>
        </w:tc>
        <w:tc>
          <w:tcPr>
            <w:tcW w:w="2413" w:type="dxa"/>
            <w:noWrap w:val="0"/>
            <w:vAlign w:val="center"/>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9210" w:type="dxa"/>
            <w:gridSpan w:val="4"/>
            <w:noWrap w:val="0"/>
            <w:vAlign w:val="top"/>
          </w:tcPr>
          <w:p>
            <w:pPr>
              <w:keepNext w:val="0"/>
              <w:keepLines w:val="0"/>
              <w:pageBreakBefore w:val="0"/>
              <w:widowControl/>
              <w:kinsoku/>
              <w:overflowPunct/>
              <w:topLinePunct w:val="0"/>
              <w:bidi w:val="0"/>
              <w:spacing w:line="560" w:lineRule="exact"/>
              <w:jc w:val="center"/>
              <w:rPr>
                <w:rFonts w:hint="eastAsia" w:ascii="仿宋_GB2312" w:hAnsi="仿宋_GB2312" w:eastAsia="仿宋_GB2312" w:cs="仿宋_GB2312"/>
                <w:sz w:val="28"/>
                <w:szCs w:val="28"/>
                <w:highlight w:val="none"/>
              </w:rPr>
            </w:pPr>
          </w:p>
          <w:p>
            <w:pPr>
              <w:pStyle w:val="2"/>
              <w:keepNext w:val="0"/>
              <w:keepLines w:val="0"/>
              <w:pageBreakBefore w:val="0"/>
              <w:kinsoku/>
              <w:overflowPunct/>
              <w:topLinePunct w:val="0"/>
              <w:bidi w:val="0"/>
              <w:spacing w:line="560" w:lineRule="exact"/>
              <w:rPr>
                <w:rFonts w:hint="eastAsia" w:ascii="仿宋_GB2312" w:hAnsi="仿宋_GB2312" w:eastAsia="仿宋_GB2312" w:cs="仿宋_GB2312"/>
                <w:sz w:val="28"/>
                <w:szCs w:val="28"/>
                <w:highlight w:val="none"/>
              </w:rPr>
            </w:pPr>
          </w:p>
          <w:p>
            <w:pPr>
              <w:pStyle w:val="10"/>
              <w:keepNext w:val="0"/>
              <w:keepLines w:val="0"/>
              <w:pageBreakBefore w:val="0"/>
              <w:kinsoku/>
              <w:overflowPunct/>
              <w:topLinePunct w:val="0"/>
              <w:bidi w:val="0"/>
              <w:spacing w:line="560" w:lineRule="exact"/>
              <w:rPr>
                <w:rFonts w:hint="eastAsia"/>
                <w:highlight w:val="none"/>
              </w:rPr>
            </w:pPr>
          </w:p>
          <w:p>
            <w:pPr>
              <w:keepNext w:val="0"/>
              <w:keepLines w:val="0"/>
              <w:pageBreakBefore w:val="0"/>
              <w:widowControl/>
              <w:kinsoku/>
              <w:wordWrap w:val="0"/>
              <w:overflowPunct/>
              <w:topLinePunct w:val="0"/>
              <w:bidi w:val="0"/>
              <w:spacing w:line="560" w:lineRule="exact"/>
              <w:jc w:val="right"/>
              <w:rPr>
                <w:rFonts w:hint="default" w:eastAsia="仿宋_GB2312"/>
                <w:highlight w:val="none"/>
                <w:lang w:val="en-US" w:eastAsia="zh-CN"/>
              </w:rPr>
            </w:pPr>
            <w:r>
              <w:rPr>
                <w:rFonts w:hint="eastAsia" w:ascii="仿宋_GB2312" w:hAnsi="仿宋_GB2312" w:eastAsia="仿宋_GB2312" w:cs="仿宋_GB2312"/>
                <w:sz w:val="28"/>
                <w:szCs w:val="28"/>
                <w:highlight w:val="none"/>
              </w:rPr>
              <w:t>申请</w:t>
            </w:r>
            <w:r>
              <w:rPr>
                <w:rFonts w:hint="eastAsia" w:ascii="仿宋_GB2312" w:hAnsi="仿宋_GB2312" w:eastAsia="仿宋_GB2312" w:cs="仿宋_GB2312"/>
                <w:sz w:val="28"/>
                <w:szCs w:val="28"/>
                <w:highlight w:val="none"/>
                <w:lang w:eastAsia="zh-CN"/>
              </w:rPr>
              <w:t>单位</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盖</w:t>
            </w:r>
            <w:r>
              <w:rPr>
                <w:rFonts w:hint="eastAsia" w:ascii="仿宋_GB2312" w:hAnsi="仿宋_GB2312" w:eastAsia="仿宋_GB2312" w:cs="仿宋_GB2312"/>
                <w:sz w:val="28"/>
                <w:szCs w:val="28"/>
                <w:highlight w:val="none"/>
              </w:rPr>
              <w:t>章） ：</w:t>
            </w:r>
            <w:r>
              <w:rPr>
                <w:rFonts w:hint="eastAsia" w:ascii="仿宋_GB2312" w:hAnsi="仿宋_GB2312" w:eastAsia="仿宋_GB2312" w:cs="仿宋_GB2312"/>
                <w:sz w:val="28"/>
                <w:szCs w:val="28"/>
                <w:highlight w:val="none"/>
                <w:lang w:val="en-US" w:eastAsia="zh-CN"/>
              </w:rPr>
              <w:t xml:space="preserve">                     </w:t>
            </w:r>
          </w:p>
          <w:p>
            <w:pPr>
              <w:keepNext w:val="0"/>
              <w:keepLines w:val="0"/>
              <w:pageBreakBefore w:val="0"/>
              <w:widowControl/>
              <w:kinsoku/>
              <w:overflowPunct/>
              <w:topLinePunct w:val="0"/>
              <w:bidi w:val="0"/>
              <w:spacing w:line="560" w:lineRule="exact"/>
              <w:ind w:firstLine="840" w:firstLineChars="3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法定代表人（或委托代理人）（签名） ：</w:t>
            </w:r>
          </w:p>
          <w:p>
            <w:pPr>
              <w:pStyle w:val="10"/>
              <w:keepNext w:val="0"/>
              <w:keepLines w:val="0"/>
              <w:pageBreakBefore w:val="0"/>
              <w:kinsoku/>
              <w:overflowPunct/>
              <w:topLinePunct w:val="0"/>
              <w:bidi w:val="0"/>
              <w:spacing w:line="560" w:lineRule="exact"/>
              <w:rPr>
                <w:rFonts w:hint="eastAsia"/>
                <w:highlight w:val="none"/>
              </w:rPr>
            </w:pPr>
          </w:p>
          <w:p>
            <w:pPr>
              <w:keepNext w:val="0"/>
              <w:keepLines w:val="0"/>
              <w:pageBreakBefore w:val="0"/>
              <w:widowControl/>
              <w:kinsoku/>
              <w:overflowPunct/>
              <w:topLinePunct w:val="0"/>
              <w:bidi w:val="0"/>
              <w:spacing w:line="560" w:lineRule="exact"/>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年   月   日</w:t>
            </w:r>
          </w:p>
        </w:tc>
      </w:tr>
    </w:tbl>
    <w:p>
      <w:pPr>
        <w:keepNext w:val="0"/>
        <w:keepLines w:val="0"/>
        <w:pageBreakBefore w:val="0"/>
        <w:kinsoku/>
        <w:overflowPunct/>
        <w:topLinePunct w:val="0"/>
        <w:bidi w:val="0"/>
        <w:spacing w:line="560" w:lineRule="exact"/>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方正小标宋简体" w:hAnsi="方正小标宋简体" w:eastAsia="方正小标宋简体" w:cs="方正小标宋简体"/>
          <w:b w:val="0"/>
          <w:bCs w:val="0"/>
          <w:sz w:val="28"/>
          <w:szCs w:val="28"/>
          <w:highlight w:val="none"/>
          <w:lang w:val="en-US" w:eastAsia="zh-CN"/>
        </w:rPr>
      </w:pPr>
      <w:r>
        <w:rPr>
          <w:rFonts w:hint="eastAsia" w:ascii="方正小标宋简体" w:hAnsi="方正小标宋简体" w:eastAsia="方正小标宋简体" w:cs="方正小标宋简体"/>
          <w:b w:val="0"/>
          <w:bCs w:val="0"/>
          <w:sz w:val="28"/>
          <w:szCs w:val="28"/>
          <w:highlight w:val="none"/>
          <w:lang w:val="en-US" w:eastAsia="zh-CN"/>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龙港市投资项目</w:t>
      </w:r>
      <w:r>
        <w:rPr>
          <w:rFonts w:hint="eastAsia" w:ascii="方正小标宋简体" w:hAnsi="方正小标宋简体" w:eastAsia="方正小标宋简体" w:cs="方正小标宋简体"/>
          <w:sz w:val="44"/>
          <w:szCs w:val="44"/>
          <w:highlight w:val="none"/>
        </w:rPr>
        <w:t>拿地即开工承诺书</w:t>
      </w: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申请人</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拟参与</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地块竞拍，投资建设</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项目，申请该项目在拿地前提前进行设计方案审查，拿地后即开工。</w:t>
      </w: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投资人：</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拟在</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地块投资建设           项目，申请该项目进行施工许可证“模拟审批”。</w:t>
      </w: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投资人</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拟在</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投资建设</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项目，申请该项目进行提前进场施工。</w:t>
      </w:r>
    </w:p>
    <w:p>
      <w:pPr>
        <w:keepNext w:val="0"/>
        <w:keepLines w:val="0"/>
        <w:pageBreakBefore w:val="0"/>
        <w:kinsoku/>
        <w:overflowPunct/>
        <w:topLinePunct w:val="0"/>
        <w:bidi w:val="0"/>
        <w:spacing w:line="56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现就该投资项目的相关事宜作出如下承诺，并承担相关法律责任。</w:t>
      </w: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一、本投资人提供的所有申请资料真实有效。</w:t>
      </w: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二、本项目已按地块规划条件编制规划设计方案，如拿地成功将按审查通过后的规划设计方案申请备案手续及后续许可手续，并进行下一步的施工图设计。</w:t>
      </w: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、在“模拟审批”阶段所产生的一切费用由本投资人承担。</w:t>
      </w: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、相关前置材料齐备后，积极配合审批部门尽快办理“模拟审批”文件转换为正式文件的手续。</w:t>
      </w: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、本项目设计方案满足规划要求和相关规范、技术规定的要求。</w:t>
      </w:r>
    </w:p>
    <w:p>
      <w:pPr>
        <w:keepNext w:val="0"/>
        <w:keepLines w:val="0"/>
        <w:pageBreakBefore w:val="0"/>
        <w:kinsoku/>
        <w:overflowPunct/>
        <w:topLinePunct w:val="0"/>
        <w:bidi w:val="0"/>
        <w:spacing w:line="560" w:lineRule="exact"/>
        <w:ind w:firstLine="640"/>
        <w:rPr>
          <w:rFonts w:hint="eastAsia" w:eastAsia="仿宋_GB2312"/>
          <w:highlight w:val="none"/>
          <w:lang w:eastAsia="zh-CN"/>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、本项目施工图已审查合格，并已落实施工单位和监理单位</w:t>
      </w:r>
      <w:r>
        <w:rPr>
          <w:rFonts w:hint="eastAsia" w:ascii="仿宋_GB2312" w:hAnsi="仿宋_GB2312" w:eastAsia="仿宋_GB2312" w:cs="仿宋_GB2312"/>
          <w:sz w:val="32"/>
          <w:szCs w:val="32"/>
          <w:highlight w:val="none"/>
          <w:lang w:eastAsia="zh-CN"/>
        </w:rPr>
        <w:t>。</w:t>
      </w: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本项目具备安全开工条件，并经相关部门现场确认后，予以进场</w:t>
      </w:r>
      <w:r>
        <w:rPr>
          <w:rFonts w:hint="eastAsia" w:ascii="仿宋_GB2312" w:hAnsi="仿宋_GB2312" w:eastAsia="仿宋_GB2312" w:cs="仿宋_GB2312"/>
          <w:sz w:val="32"/>
          <w:szCs w:val="32"/>
          <w:highlight w:val="none"/>
        </w:rPr>
        <w:t>开工。</w:t>
      </w: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特此承诺。</w:t>
      </w: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rPr>
          <w:rFonts w:hint="eastAsia" w:ascii="仿宋_GB2312" w:hAnsi="仿宋_GB2312" w:eastAsia="仿宋_GB2312" w:cs="仿宋_GB2312"/>
          <w:sz w:val="32"/>
          <w:szCs w:val="32"/>
          <w:highlight w:val="none"/>
        </w:rPr>
      </w:pPr>
    </w:p>
    <w:p>
      <w:pPr>
        <w:pStyle w:val="2"/>
        <w:keepNext w:val="0"/>
        <w:keepLines w:val="0"/>
        <w:pageBreakBefore w:val="0"/>
        <w:kinsoku/>
        <w:overflowPunct/>
        <w:topLinePunct w:val="0"/>
        <w:bidi w:val="0"/>
        <w:spacing w:line="560" w:lineRule="exact"/>
        <w:rPr>
          <w:rFonts w:hint="eastAsia"/>
          <w:highlight w:val="none"/>
        </w:rPr>
      </w:pP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承诺单位（盖章）：</w:t>
      </w: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承诺时间：</w:t>
      </w:r>
    </w:p>
    <w:p>
      <w:pPr>
        <w:pStyle w:val="2"/>
        <w:keepNext w:val="0"/>
        <w:keepLines w:val="0"/>
        <w:pageBreakBefore w:val="0"/>
        <w:kinsoku/>
        <w:overflowPunct/>
        <w:topLinePunct w:val="0"/>
        <w:bidi w:val="0"/>
        <w:spacing w:line="560" w:lineRule="exact"/>
        <w:rPr>
          <w:rFonts w:hint="eastAsia"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rPr>
          <w:rFonts w:hint="eastAsia"/>
          <w:highlight w:val="none"/>
        </w:rPr>
      </w:pPr>
    </w:p>
    <w:p>
      <w:pPr>
        <w:keepNext w:val="0"/>
        <w:keepLines w:val="0"/>
        <w:pageBreakBefore w:val="0"/>
        <w:kinsoku/>
        <w:overflowPunct/>
        <w:topLinePunct w:val="0"/>
        <w:bidi w:val="0"/>
        <w:spacing w:line="560" w:lineRule="exact"/>
        <w:rPr>
          <w:rFonts w:hint="eastAsia"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640"/>
        <w:rPr>
          <w:rFonts w:hint="eastAsia" w:ascii="仿宋_GB2312" w:hAnsi="仿宋_GB2312" w:eastAsia="仿宋_GB2312" w:cs="仿宋_GB2312"/>
          <w:sz w:val="32"/>
          <w:szCs w:val="32"/>
          <w:highlight w:val="none"/>
        </w:rPr>
      </w:pPr>
    </w:p>
    <w:p>
      <w:pPr>
        <w:pStyle w:val="2"/>
        <w:keepNext w:val="0"/>
        <w:keepLines w:val="0"/>
        <w:pageBreakBefore w:val="0"/>
        <w:kinsoku/>
        <w:overflowPunct/>
        <w:topLinePunct w:val="0"/>
        <w:bidi w:val="0"/>
        <w:spacing w:line="560" w:lineRule="exact"/>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rPr>
          <w:rFonts w:hint="eastAsia"/>
          <w:highlight w:val="none"/>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方正小标宋简体" w:hAnsi="方正小标宋简体" w:eastAsia="方正小标宋简体" w:cs="方正小标宋简体"/>
          <w:b w:val="0"/>
          <w:bCs w:val="0"/>
          <w:sz w:val="28"/>
          <w:szCs w:val="28"/>
          <w:highlight w:val="none"/>
          <w:lang w:val="en-US" w:eastAsia="zh-CN"/>
        </w:rPr>
      </w:pPr>
      <w:r>
        <w:rPr>
          <w:rFonts w:hint="eastAsia" w:ascii="方正小标宋简体" w:hAnsi="方正小标宋简体" w:eastAsia="方正小标宋简体" w:cs="方正小标宋简体"/>
          <w:b w:val="0"/>
          <w:bCs w:val="0"/>
          <w:sz w:val="28"/>
          <w:szCs w:val="28"/>
          <w:highlight w:val="none"/>
          <w:lang w:val="en-US" w:eastAsia="zh-CN"/>
        </w:rPr>
        <w:t>附件3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val="en-US" w:eastAsia="zh-CN"/>
        </w:rPr>
        <w:t>龙港市投资项目“拿地即开工”</w:t>
      </w:r>
      <w:r>
        <w:rPr>
          <w:rFonts w:hint="eastAsia" w:ascii="方正小标宋简体" w:hAnsi="方正小标宋简体" w:eastAsia="方正小标宋简体" w:cs="方正小标宋简体"/>
          <w:sz w:val="44"/>
          <w:szCs w:val="44"/>
          <w:highlight w:val="none"/>
        </w:rPr>
        <w:t>设计</w:t>
      </w:r>
      <w:r>
        <w:rPr>
          <w:rFonts w:hint="eastAsia" w:ascii="方正小标宋简体" w:hAnsi="方正小标宋简体" w:eastAsia="方正小标宋简体" w:cs="方正小标宋简体"/>
          <w:sz w:val="44"/>
          <w:szCs w:val="44"/>
          <w:highlight w:val="none"/>
          <w:lang w:eastAsia="zh-CN"/>
        </w:rPr>
        <w:t>文本</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模拟审查意见</w:t>
      </w:r>
    </w:p>
    <w:p>
      <w:pPr>
        <w:keepNext w:val="0"/>
        <w:keepLines w:val="0"/>
        <w:pageBreakBefore w:val="0"/>
        <w:kinsoku/>
        <w:overflowPunct/>
        <w:topLinePunct w:val="0"/>
        <w:bidi w:val="0"/>
        <w:spacing w:line="56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单位提交的设计</w:t>
      </w:r>
      <w:r>
        <w:rPr>
          <w:rFonts w:hint="eastAsia" w:ascii="仿宋_GB2312" w:hAnsi="仿宋_GB2312" w:eastAsia="仿宋_GB2312" w:cs="仿宋_GB2312"/>
          <w:sz w:val="32"/>
          <w:szCs w:val="32"/>
          <w:highlight w:val="none"/>
          <w:lang w:eastAsia="zh-CN"/>
        </w:rPr>
        <w:t>文本</w:t>
      </w:r>
      <w:r>
        <w:rPr>
          <w:rFonts w:hint="eastAsia" w:ascii="仿宋_GB2312" w:hAnsi="仿宋_GB2312" w:eastAsia="仿宋_GB2312" w:cs="仿宋_GB2312"/>
          <w:sz w:val="32"/>
          <w:szCs w:val="32"/>
          <w:highlight w:val="none"/>
        </w:rPr>
        <w:t>经各部门审查，符合该地块建设要求</w:t>
      </w:r>
      <w:r>
        <w:rPr>
          <w:rFonts w:hint="eastAsia" w:ascii="仿宋_GB2312" w:hAnsi="仿宋_GB2312" w:eastAsia="仿宋_GB2312" w:cs="仿宋_GB2312"/>
          <w:sz w:val="32"/>
          <w:szCs w:val="32"/>
          <w:highlight w:val="none"/>
          <w:lang w:eastAsia="zh-CN"/>
        </w:rPr>
        <w:t>。</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申请人拿地后需按</w:t>
      </w:r>
      <w:r>
        <w:rPr>
          <w:rFonts w:hint="eastAsia" w:ascii="仿宋_GB2312" w:hAnsi="仿宋_GB2312" w:eastAsia="仿宋_GB2312" w:cs="仿宋_GB2312"/>
          <w:color w:val="auto"/>
          <w:sz w:val="32"/>
          <w:szCs w:val="32"/>
          <w:highlight w:val="none"/>
          <w:lang w:eastAsia="zh-CN"/>
        </w:rPr>
        <w:t>批前指导通过</w:t>
      </w:r>
      <w:r>
        <w:rPr>
          <w:rFonts w:hint="eastAsia" w:ascii="仿宋_GB2312" w:hAnsi="仿宋_GB2312" w:eastAsia="仿宋_GB2312" w:cs="仿宋_GB2312"/>
          <w:color w:val="auto"/>
          <w:sz w:val="32"/>
          <w:szCs w:val="32"/>
          <w:highlight w:val="none"/>
        </w:rPr>
        <w:t>的设计</w:t>
      </w:r>
      <w:r>
        <w:rPr>
          <w:rFonts w:hint="eastAsia" w:ascii="仿宋_GB2312" w:hAnsi="仿宋_GB2312" w:eastAsia="仿宋_GB2312" w:cs="仿宋_GB2312"/>
          <w:color w:val="auto"/>
          <w:sz w:val="32"/>
          <w:szCs w:val="32"/>
          <w:highlight w:val="none"/>
          <w:lang w:eastAsia="zh-CN"/>
        </w:rPr>
        <w:t>文本</w:t>
      </w:r>
      <w:r>
        <w:rPr>
          <w:rFonts w:hint="eastAsia" w:ascii="仿宋_GB2312" w:hAnsi="仿宋_GB2312" w:eastAsia="仿宋_GB2312" w:cs="仿宋_GB2312"/>
          <w:color w:val="auto"/>
          <w:sz w:val="32"/>
          <w:szCs w:val="32"/>
          <w:highlight w:val="none"/>
        </w:rPr>
        <w:t>进行下一步的施工图设计</w:t>
      </w:r>
      <w:r>
        <w:rPr>
          <w:rFonts w:hint="eastAsia" w:ascii="仿宋_GB2312" w:hAnsi="仿宋_GB2312" w:eastAsia="仿宋_GB2312" w:cs="仿宋_GB2312"/>
          <w:color w:val="auto"/>
          <w:sz w:val="32"/>
          <w:szCs w:val="32"/>
          <w:highlight w:val="none"/>
          <w:lang w:eastAsia="zh-CN"/>
        </w:rPr>
        <w:t>及办理相关手续</w:t>
      </w:r>
      <w:r>
        <w:rPr>
          <w:rFonts w:hint="eastAsia" w:ascii="仿宋_GB2312" w:hAnsi="仿宋_GB2312" w:eastAsia="仿宋_GB2312" w:cs="仿宋_GB2312"/>
          <w:color w:val="auto"/>
          <w:sz w:val="32"/>
          <w:szCs w:val="32"/>
          <w:highlight w:val="none"/>
        </w:rPr>
        <w:t>。</w:t>
      </w:r>
    </w:p>
    <w:p>
      <w:pPr>
        <w:keepNext w:val="0"/>
        <w:keepLines w:val="0"/>
        <w:pageBreakBefore w:val="0"/>
        <w:kinsoku/>
        <w:overflowPunct/>
        <w:topLinePunct w:val="0"/>
        <w:bidi w:val="0"/>
        <w:spacing w:line="560" w:lineRule="exact"/>
        <w:ind w:firstLine="640"/>
        <w:rPr>
          <w:rFonts w:hint="eastAsia" w:eastAsia="仿宋"/>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 w:hAnsi="仿宋" w:eastAsia="仿宋" w:cs="仿宋"/>
          <w:sz w:val="32"/>
          <w:szCs w:val="32"/>
          <w:highlight w:val="none"/>
          <w:lang w:val="en-US" w:eastAsia="zh-CN"/>
        </w:rPr>
        <w:t>设计文本</w:t>
      </w:r>
    </w:p>
    <w:p>
      <w:pPr>
        <w:keepNext w:val="0"/>
        <w:keepLines w:val="0"/>
        <w:pageBreakBefore w:val="0"/>
        <w:kinsoku/>
        <w:overflowPunct/>
        <w:topLinePunct w:val="0"/>
        <w:bidi w:val="0"/>
        <w:spacing w:line="560" w:lineRule="exact"/>
        <w:ind w:firstLine="640"/>
        <w:rPr>
          <w:rFonts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640"/>
        <w:rPr>
          <w:rFonts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640"/>
        <w:rPr>
          <w:rFonts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64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单位（盖章）：</w:t>
      </w:r>
    </w:p>
    <w:p>
      <w:pPr>
        <w:keepNext w:val="0"/>
        <w:keepLines w:val="0"/>
        <w:pageBreakBefore w:val="0"/>
        <w:kinsoku/>
        <w:overflowPunct/>
        <w:topLinePunct w:val="0"/>
        <w:bidi w:val="0"/>
        <w:spacing w:line="560" w:lineRule="exact"/>
        <w:ind w:firstLine="3840" w:firstLineChars="1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时间：</w:t>
      </w:r>
    </w:p>
    <w:p>
      <w:pPr>
        <w:pStyle w:val="2"/>
        <w:keepNext w:val="0"/>
        <w:keepLines w:val="0"/>
        <w:pageBreakBefore w:val="0"/>
        <w:kinsoku/>
        <w:overflowPunct/>
        <w:topLinePunct w:val="0"/>
        <w:bidi w:val="0"/>
        <w:spacing w:line="560" w:lineRule="exact"/>
        <w:rPr>
          <w:rFonts w:hint="eastAsia"/>
          <w:highlight w:val="none"/>
          <w:lang w:val="en-US" w:eastAsia="zh-CN"/>
        </w:rPr>
        <w:sectPr>
          <w:footerReference r:id="rId3" w:type="default"/>
          <w:pgSz w:w="11905" w:h="16838"/>
          <w:pgMar w:top="1440" w:right="1800" w:bottom="1440" w:left="1800" w:header="851" w:footer="992" w:gutter="0"/>
          <w:pgNumType w:fmt="numberInDash"/>
          <w:cols w:space="720" w:num="1"/>
          <w:docGrid w:type="lines" w:linePitch="314" w:charSpace="0"/>
        </w:sect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方正小标宋简体" w:hAnsi="方正小标宋简体" w:eastAsia="方正小标宋简体" w:cs="方正小标宋简体"/>
          <w:b w:val="0"/>
          <w:bCs w:val="0"/>
          <w:sz w:val="28"/>
          <w:szCs w:val="28"/>
          <w:highlight w:val="none"/>
          <w:lang w:val="en-US" w:eastAsia="zh-CN"/>
        </w:rPr>
      </w:pPr>
      <w:r>
        <w:rPr>
          <w:rFonts w:hint="eastAsia" w:ascii="方正小标宋简体" w:hAnsi="方正小标宋简体" w:eastAsia="方正小标宋简体" w:cs="方正小标宋简体"/>
          <w:b w:val="0"/>
          <w:bCs w:val="0"/>
          <w:sz w:val="28"/>
          <w:szCs w:val="28"/>
          <w:highlight w:val="none"/>
          <w:lang w:val="en-US" w:eastAsia="zh-CN"/>
        </w:rPr>
        <w:t>附件4</w:t>
      </w:r>
    </w:p>
    <w:p>
      <w:pPr>
        <w:keepNext w:val="0"/>
        <w:keepLines w:val="0"/>
        <w:pageBreakBefore w:val="0"/>
        <w:kinsoku/>
        <w:overflowPunct/>
        <w:topLinePunct w:val="0"/>
        <w:bidi w:val="0"/>
        <w:spacing w:line="5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龙港市投资项目</w:t>
      </w:r>
      <w:r>
        <w:rPr>
          <w:rFonts w:hint="eastAsia" w:ascii="方正小标宋简体" w:hAnsi="方正小标宋简体" w:eastAsia="方正小标宋简体" w:cs="方正小标宋简体"/>
          <w:sz w:val="44"/>
          <w:szCs w:val="44"/>
          <w:highlight w:val="none"/>
        </w:rPr>
        <w:t>竣工预验收必备材料清单</w:t>
      </w:r>
    </w:p>
    <w:p>
      <w:pPr>
        <w:keepNext w:val="0"/>
        <w:keepLines w:val="0"/>
        <w:pageBreakBefore w:val="0"/>
        <w:kinsoku/>
        <w:overflowPunct/>
        <w:topLinePunct w:val="0"/>
        <w:bidi w:val="0"/>
        <w:spacing w:line="560" w:lineRule="exact"/>
        <w:rPr>
          <w:sz w:val="28"/>
          <w:szCs w:val="28"/>
          <w:highlight w:val="none"/>
        </w:rPr>
      </w:pPr>
      <w:r>
        <w:rPr>
          <w:rFonts w:hint="eastAsia"/>
          <w:sz w:val="28"/>
          <w:szCs w:val="28"/>
          <w:highlight w:val="none"/>
        </w:rPr>
        <w:t>项目名称：</w:t>
      </w:r>
    </w:p>
    <w:tbl>
      <w:tblPr>
        <w:tblStyle w:val="6"/>
        <w:tblW w:w="9515" w:type="dxa"/>
        <w:tblInd w:w="-125" w:type="dxa"/>
        <w:tblLayout w:type="fixed"/>
        <w:tblCellMar>
          <w:top w:w="0" w:type="dxa"/>
          <w:left w:w="108" w:type="dxa"/>
          <w:bottom w:w="0" w:type="dxa"/>
          <w:right w:w="108" w:type="dxa"/>
        </w:tblCellMar>
      </w:tblPr>
      <w:tblGrid>
        <w:gridCol w:w="996"/>
        <w:gridCol w:w="5068"/>
        <w:gridCol w:w="3451"/>
      </w:tblGrid>
      <w:tr>
        <w:tblPrEx>
          <w:tblCellMar>
            <w:top w:w="0" w:type="dxa"/>
            <w:left w:w="108" w:type="dxa"/>
            <w:bottom w:w="0" w:type="dxa"/>
            <w:right w:w="108" w:type="dxa"/>
          </w:tblCellMar>
        </w:tblPrEx>
        <w:trPr>
          <w:trHeight w:val="551" w:hRule="atLeast"/>
        </w:trPr>
        <w:tc>
          <w:tcPr>
            <w:tcW w:w="99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kinsoku/>
              <w:overflowPunct/>
              <w:topLinePunct w:val="0"/>
              <w:bidi w:val="0"/>
              <w:spacing w:line="560" w:lineRule="exact"/>
              <w:jc w:val="center"/>
              <w:rPr>
                <w:rFonts w:hint="eastAsia" w:ascii="黑体" w:hAnsi="黑体" w:eastAsia="黑体" w:cs="黑体"/>
                <w:b w:val="0"/>
                <w:bCs/>
                <w:kern w:val="0"/>
                <w:sz w:val="24"/>
                <w:highlight w:val="none"/>
              </w:rPr>
            </w:pPr>
            <w:r>
              <w:rPr>
                <w:rFonts w:hint="eastAsia" w:ascii="黑体" w:hAnsi="黑体" w:eastAsia="黑体" w:cs="黑体"/>
                <w:b w:val="0"/>
                <w:bCs/>
                <w:kern w:val="0"/>
                <w:sz w:val="24"/>
                <w:highlight w:val="none"/>
              </w:rPr>
              <w:t>序号</w:t>
            </w:r>
          </w:p>
        </w:tc>
        <w:tc>
          <w:tcPr>
            <w:tcW w:w="5068" w:type="dxa"/>
            <w:tcBorders>
              <w:top w:val="single" w:color="auto" w:sz="4" w:space="0"/>
              <w:left w:val="nil"/>
              <w:bottom w:val="single" w:color="auto" w:sz="4" w:space="0"/>
              <w:right w:val="single" w:color="auto" w:sz="4" w:space="0"/>
              <w:tl2br w:val="nil"/>
              <w:tr2bl w:val="nil"/>
            </w:tcBorders>
            <w:noWrap w:val="0"/>
            <w:vAlign w:val="top"/>
          </w:tcPr>
          <w:p>
            <w:pPr>
              <w:keepNext w:val="0"/>
              <w:keepLines w:val="0"/>
              <w:pageBreakBefore w:val="0"/>
              <w:widowControl/>
              <w:kinsoku/>
              <w:overflowPunct/>
              <w:topLinePunct w:val="0"/>
              <w:bidi w:val="0"/>
              <w:spacing w:line="560" w:lineRule="exact"/>
              <w:jc w:val="center"/>
              <w:rPr>
                <w:rFonts w:hint="eastAsia" w:ascii="黑体" w:hAnsi="黑体" w:eastAsia="黑体" w:cs="黑体"/>
                <w:b w:val="0"/>
                <w:bCs/>
                <w:kern w:val="0"/>
                <w:sz w:val="24"/>
                <w:highlight w:val="none"/>
              </w:rPr>
            </w:pPr>
            <w:r>
              <w:rPr>
                <w:rFonts w:hint="eastAsia" w:ascii="黑体" w:hAnsi="黑体" w:eastAsia="黑体" w:cs="黑体"/>
                <w:b w:val="0"/>
                <w:bCs/>
                <w:kern w:val="0"/>
                <w:sz w:val="24"/>
                <w:highlight w:val="none"/>
              </w:rPr>
              <w:t>土建</w:t>
            </w:r>
          </w:p>
        </w:tc>
        <w:tc>
          <w:tcPr>
            <w:tcW w:w="3451" w:type="dxa"/>
            <w:tcBorders>
              <w:top w:val="single" w:color="auto" w:sz="4" w:space="0"/>
              <w:left w:val="nil"/>
              <w:bottom w:val="single" w:color="auto" w:sz="4" w:space="0"/>
              <w:right w:val="single" w:color="auto" w:sz="8" w:space="0"/>
              <w:tl2br w:val="nil"/>
              <w:tr2bl w:val="nil"/>
            </w:tcBorders>
            <w:noWrap w:val="0"/>
            <w:vAlign w:val="top"/>
          </w:tcPr>
          <w:p>
            <w:pPr>
              <w:keepNext w:val="0"/>
              <w:keepLines w:val="0"/>
              <w:pageBreakBefore w:val="0"/>
              <w:widowControl/>
              <w:kinsoku/>
              <w:overflowPunct/>
              <w:topLinePunct w:val="0"/>
              <w:bidi w:val="0"/>
              <w:spacing w:line="560" w:lineRule="exact"/>
              <w:jc w:val="center"/>
              <w:rPr>
                <w:rFonts w:hint="eastAsia" w:ascii="黑体" w:hAnsi="黑体" w:eastAsia="黑体" w:cs="黑体"/>
                <w:b w:val="0"/>
                <w:bCs/>
                <w:kern w:val="0"/>
                <w:sz w:val="24"/>
                <w:highlight w:val="none"/>
              </w:rPr>
            </w:pPr>
            <w:r>
              <w:rPr>
                <w:rFonts w:hint="eastAsia" w:ascii="黑体" w:hAnsi="黑体" w:eastAsia="黑体" w:cs="黑体"/>
                <w:b w:val="0"/>
                <w:bCs/>
                <w:kern w:val="0"/>
                <w:sz w:val="24"/>
                <w:highlight w:val="none"/>
              </w:rPr>
              <w:t>安装</w:t>
            </w:r>
          </w:p>
        </w:tc>
      </w:tr>
      <w:tr>
        <w:tblPrEx>
          <w:tblCellMar>
            <w:top w:w="0" w:type="dxa"/>
            <w:left w:w="108" w:type="dxa"/>
            <w:bottom w:w="0" w:type="dxa"/>
            <w:right w:w="108" w:type="dxa"/>
          </w:tblCellMar>
        </w:tblPrEx>
        <w:trPr>
          <w:trHeight w:val="449" w:hRule="atLeast"/>
        </w:trPr>
        <w:tc>
          <w:tcPr>
            <w:tcW w:w="996"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w:t>
            </w:r>
          </w:p>
        </w:tc>
        <w:tc>
          <w:tcPr>
            <w:tcW w:w="506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试打桩记录</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份、地基验槽记录</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c>
          <w:tcPr>
            <w:tcW w:w="3451" w:type="dxa"/>
            <w:tcBorders>
              <w:top w:val="nil"/>
              <w:left w:val="nil"/>
              <w:bottom w:val="single" w:color="auto" w:sz="4" w:space="0"/>
              <w:right w:val="single" w:color="auto"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　复核材料汇总</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r>
      <w:tr>
        <w:tblPrEx>
          <w:tblCellMar>
            <w:top w:w="0" w:type="dxa"/>
            <w:left w:w="108" w:type="dxa"/>
            <w:bottom w:w="0" w:type="dxa"/>
            <w:right w:w="108" w:type="dxa"/>
          </w:tblCellMar>
        </w:tblPrEx>
        <w:trPr>
          <w:trHeight w:val="934" w:hRule="atLeast"/>
        </w:trPr>
        <w:tc>
          <w:tcPr>
            <w:tcW w:w="996"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2</w:t>
            </w:r>
          </w:p>
        </w:tc>
        <w:tc>
          <w:tcPr>
            <w:tcW w:w="506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分部工程验收记录：                               地基基础</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份、主体结构</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装饰装修</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 屋面</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节能</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c>
          <w:tcPr>
            <w:tcW w:w="3451" w:type="dxa"/>
            <w:tcBorders>
              <w:top w:val="nil"/>
              <w:left w:val="nil"/>
              <w:bottom w:val="single" w:color="auto" w:sz="4" w:space="0"/>
              <w:right w:val="single" w:color="auto"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给排水采暖</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电气</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份、通风空调</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份、电梯</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智能建筑</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r>
      <w:tr>
        <w:tblPrEx>
          <w:tblCellMar>
            <w:top w:w="0" w:type="dxa"/>
            <w:left w:w="108" w:type="dxa"/>
            <w:bottom w:w="0" w:type="dxa"/>
            <w:right w:w="108" w:type="dxa"/>
          </w:tblCellMar>
        </w:tblPrEx>
        <w:trPr>
          <w:trHeight w:val="1164" w:hRule="atLeast"/>
        </w:trPr>
        <w:tc>
          <w:tcPr>
            <w:tcW w:w="996"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3</w:t>
            </w:r>
          </w:p>
        </w:tc>
        <w:tc>
          <w:tcPr>
            <w:tcW w:w="506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重要子分部工程验收记录：                         桩基</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份、幕墙</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份、钢结构</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 xml:space="preserve">份          </w:t>
            </w:r>
          </w:p>
        </w:tc>
        <w:tc>
          <w:tcPr>
            <w:tcW w:w="3451" w:type="dxa"/>
            <w:tcBorders>
              <w:top w:val="nil"/>
              <w:left w:val="nil"/>
              <w:bottom w:val="single" w:color="auto" w:sz="4" w:space="0"/>
              <w:right w:val="single" w:color="auto"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火灾报警及消防联动系统</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 xml:space="preserve"> 份、自动喷水灭火系统</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r>
      <w:tr>
        <w:tblPrEx>
          <w:tblCellMar>
            <w:top w:w="0" w:type="dxa"/>
            <w:left w:w="108" w:type="dxa"/>
            <w:bottom w:w="0" w:type="dxa"/>
            <w:right w:w="108" w:type="dxa"/>
          </w:tblCellMar>
        </w:tblPrEx>
        <w:trPr>
          <w:trHeight w:val="1752" w:hRule="atLeast"/>
        </w:trPr>
        <w:tc>
          <w:tcPr>
            <w:tcW w:w="996"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4</w:t>
            </w:r>
          </w:p>
        </w:tc>
        <w:tc>
          <w:tcPr>
            <w:tcW w:w="5068"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重要检测报告：                                   桩基</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份、结构实体检测汇总表</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份、钢结构</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r>
              <w:rPr>
                <w:rFonts w:hint="eastAsia" w:ascii="仿宋_GB2312" w:hAnsi="仿宋_GB2312" w:eastAsia="仿宋_GB2312" w:cs="仿宋_GB2312"/>
                <w:kern w:val="0"/>
                <w:sz w:val="28"/>
                <w:szCs w:val="28"/>
                <w:highlight w:val="none"/>
                <w:lang w:eastAsia="zh-CN"/>
              </w:rPr>
              <w:t>防水</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c>
          <w:tcPr>
            <w:tcW w:w="3451" w:type="dxa"/>
            <w:tcBorders>
              <w:top w:val="nil"/>
              <w:left w:val="nil"/>
              <w:bottom w:val="single" w:color="auto" w:sz="4" w:space="0"/>
              <w:right w:val="single" w:color="auto"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rPr>
              <w:t>消防</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r>
              <w:rPr>
                <w:rFonts w:hint="eastAsia" w:ascii="仿宋_GB2312" w:hAnsi="仿宋_GB2312" w:eastAsia="仿宋_GB2312" w:cs="仿宋_GB2312"/>
                <w:kern w:val="0"/>
                <w:sz w:val="28"/>
                <w:szCs w:val="28"/>
                <w:highlight w:val="none"/>
                <w:lang w:eastAsia="zh-CN"/>
              </w:rPr>
              <w:t>、栏杆推力</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r>
              <w:rPr>
                <w:rFonts w:hint="eastAsia" w:ascii="仿宋_GB2312" w:hAnsi="仿宋_GB2312" w:eastAsia="仿宋_GB2312" w:cs="仿宋_GB2312"/>
                <w:kern w:val="0"/>
                <w:sz w:val="28"/>
                <w:szCs w:val="28"/>
                <w:highlight w:val="none"/>
                <w:lang w:eastAsia="zh-CN"/>
              </w:rPr>
              <w:t>、给排水</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r>
              <w:rPr>
                <w:rFonts w:hint="eastAsia" w:ascii="仿宋_GB2312" w:hAnsi="仿宋_GB2312" w:eastAsia="仿宋_GB2312" w:cs="仿宋_GB2312"/>
                <w:kern w:val="0"/>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lang w:eastAsia="zh-CN"/>
              </w:rPr>
              <w:t>电气</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 xml:space="preserve"> 份</w:t>
            </w:r>
            <w:r>
              <w:rPr>
                <w:rFonts w:hint="eastAsia" w:ascii="仿宋_GB2312" w:hAnsi="仿宋_GB2312" w:eastAsia="仿宋_GB2312" w:cs="仿宋_GB2312"/>
                <w:kern w:val="0"/>
                <w:sz w:val="28"/>
                <w:szCs w:val="28"/>
                <w:highlight w:val="none"/>
                <w:lang w:eastAsia="zh-CN"/>
              </w:rPr>
              <w:t>、</w:t>
            </w:r>
            <w:r>
              <w:rPr>
                <w:rFonts w:hint="eastAsia" w:ascii="仿宋_GB2312" w:hAnsi="仿宋_GB2312" w:eastAsia="仿宋_GB2312" w:cs="仿宋_GB2312"/>
                <w:kern w:val="0"/>
                <w:sz w:val="28"/>
                <w:szCs w:val="28"/>
                <w:highlight w:val="none"/>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p>
        </w:tc>
      </w:tr>
      <w:tr>
        <w:tblPrEx>
          <w:tblCellMar>
            <w:top w:w="0" w:type="dxa"/>
            <w:left w:w="108" w:type="dxa"/>
            <w:bottom w:w="0" w:type="dxa"/>
            <w:right w:w="108" w:type="dxa"/>
          </w:tblCellMar>
        </w:tblPrEx>
        <w:trPr>
          <w:trHeight w:val="792" w:hRule="atLeast"/>
        </w:trPr>
        <w:tc>
          <w:tcPr>
            <w:tcW w:w="996"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5</w:t>
            </w:r>
          </w:p>
        </w:tc>
        <w:tc>
          <w:tcPr>
            <w:tcW w:w="8519" w:type="dxa"/>
            <w:gridSpan w:val="2"/>
            <w:tcBorders>
              <w:top w:val="nil"/>
              <w:left w:val="nil"/>
              <w:bottom w:val="single" w:color="auto" w:sz="4" w:space="0"/>
              <w:right w:val="single" w:color="auto"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设计变更</w:t>
            </w:r>
            <w:r>
              <w:rPr>
                <w:rFonts w:hint="eastAsia" w:ascii="仿宋_GB2312" w:hAnsi="仿宋_GB2312" w:eastAsia="仿宋_GB2312" w:cs="仿宋_GB2312"/>
                <w:kern w:val="0"/>
                <w:sz w:val="28"/>
                <w:szCs w:val="28"/>
                <w:highlight w:val="none"/>
                <w:lang w:eastAsia="zh-CN"/>
              </w:rPr>
              <w:t>（含各专业的重大变更和一般变更）</w:t>
            </w:r>
            <w:r>
              <w:rPr>
                <w:rFonts w:hint="eastAsia" w:ascii="仿宋_GB2312" w:hAnsi="仿宋_GB2312" w:eastAsia="仿宋_GB2312" w:cs="仿宋_GB2312"/>
                <w:kern w:val="0"/>
                <w:sz w:val="28"/>
                <w:szCs w:val="28"/>
                <w:highlight w:val="none"/>
              </w:rPr>
              <w:t>及施工图审查</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r>
      <w:tr>
        <w:tblPrEx>
          <w:tblCellMar>
            <w:top w:w="0" w:type="dxa"/>
            <w:left w:w="108" w:type="dxa"/>
            <w:bottom w:w="0" w:type="dxa"/>
            <w:right w:w="108" w:type="dxa"/>
          </w:tblCellMar>
        </w:tblPrEx>
        <w:trPr>
          <w:trHeight w:val="674" w:hRule="atLeast"/>
        </w:trPr>
        <w:tc>
          <w:tcPr>
            <w:tcW w:w="996"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6</w:t>
            </w:r>
          </w:p>
        </w:tc>
        <w:tc>
          <w:tcPr>
            <w:tcW w:w="8519" w:type="dxa"/>
            <w:gridSpan w:val="2"/>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分包单位汇总表</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r>
      <w:tr>
        <w:tblPrEx>
          <w:tblCellMar>
            <w:top w:w="0" w:type="dxa"/>
            <w:left w:w="108" w:type="dxa"/>
            <w:bottom w:w="0" w:type="dxa"/>
            <w:right w:w="108" w:type="dxa"/>
          </w:tblCellMar>
        </w:tblPrEx>
        <w:trPr>
          <w:trHeight w:val="755" w:hRule="atLeast"/>
        </w:trPr>
        <w:tc>
          <w:tcPr>
            <w:tcW w:w="996"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7</w:t>
            </w:r>
          </w:p>
        </w:tc>
        <w:tc>
          <w:tcPr>
            <w:tcW w:w="8519" w:type="dxa"/>
            <w:gridSpan w:val="2"/>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建设单位已按合同约定支付工程款证明</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r>
      <w:tr>
        <w:tblPrEx>
          <w:tblCellMar>
            <w:top w:w="0" w:type="dxa"/>
            <w:left w:w="108" w:type="dxa"/>
            <w:bottom w:w="0" w:type="dxa"/>
            <w:right w:w="108" w:type="dxa"/>
          </w:tblCellMar>
        </w:tblPrEx>
        <w:trPr>
          <w:trHeight w:val="984" w:hRule="atLeast"/>
        </w:trPr>
        <w:tc>
          <w:tcPr>
            <w:tcW w:w="996"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8</w:t>
            </w:r>
          </w:p>
        </w:tc>
        <w:tc>
          <w:tcPr>
            <w:tcW w:w="8519" w:type="dxa"/>
            <w:gridSpan w:val="2"/>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各方主体签署的质量合格文件：                                                          勘察</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份、设计</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份、施</w:t>
            </w:r>
            <w:r>
              <w:rPr>
                <w:rFonts w:hint="eastAsia" w:ascii="仿宋_GB2312" w:hAnsi="仿宋_GB2312" w:eastAsia="仿宋_GB2312" w:cs="仿宋_GB2312"/>
                <w:kern w:val="0"/>
                <w:sz w:val="28"/>
                <w:szCs w:val="28"/>
                <w:highlight w:val="none"/>
                <w:u w:val="none"/>
              </w:rPr>
              <w:t>工</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份、监理</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 建设</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 xml:space="preserve">份 </w:t>
            </w:r>
          </w:p>
        </w:tc>
      </w:tr>
      <w:tr>
        <w:tblPrEx>
          <w:tblCellMar>
            <w:top w:w="0" w:type="dxa"/>
            <w:left w:w="108" w:type="dxa"/>
            <w:bottom w:w="0" w:type="dxa"/>
            <w:right w:w="108" w:type="dxa"/>
          </w:tblCellMar>
        </w:tblPrEx>
        <w:trPr>
          <w:trHeight w:val="1330" w:hRule="atLeast"/>
        </w:trPr>
        <w:tc>
          <w:tcPr>
            <w:tcW w:w="996"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9</w:t>
            </w:r>
          </w:p>
        </w:tc>
        <w:tc>
          <w:tcPr>
            <w:tcW w:w="8519" w:type="dxa"/>
            <w:gridSpan w:val="2"/>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单位工程（子单位）：                                                                  质量验收记录</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份、质量控制资料核查记录</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                                             安全与功能检验资料核查及主要功能抽查记录</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份、观感质量检查记录</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r>
    </w:tbl>
    <w:p>
      <w:pPr>
        <w:keepNext w:val="0"/>
        <w:keepLines w:val="0"/>
        <w:pageBreakBefore w:val="0"/>
        <w:kinsoku/>
        <w:overflowPunct/>
        <w:topLinePunct w:val="0"/>
        <w:bidi w:val="0"/>
        <w:spacing w:line="56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备注：材料份数根据申请预验收的单体数量确定。</w:t>
      </w:r>
    </w:p>
    <w:p>
      <w:pPr>
        <w:pStyle w:val="2"/>
        <w:keepNext w:val="0"/>
        <w:keepLines w:val="0"/>
        <w:pageBreakBefore w:val="0"/>
        <w:kinsoku/>
        <w:overflowPunct/>
        <w:topLinePunct w:val="0"/>
        <w:bidi w:val="0"/>
        <w:spacing w:line="560" w:lineRule="exact"/>
        <w:ind w:left="0" w:leftChars="0" w:firstLine="0" w:firstLineChars="0"/>
        <w:rPr>
          <w:rFonts w:hint="eastAsia" w:ascii="黑体" w:hAnsi="黑体" w:eastAsia="黑体" w:cs="黑体"/>
          <w:sz w:val="32"/>
          <w:szCs w:val="32"/>
          <w:highlight w:val="none"/>
          <w:lang w:val="en-US"/>
        </w:rPr>
      </w:pPr>
      <w:r>
        <w:rPr>
          <w:rFonts w:hint="eastAsia" w:ascii="黑体" w:hAnsi="黑体" w:eastAsia="黑体" w:cs="黑体"/>
          <w:sz w:val="36"/>
          <w:szCs w:val="36"/>
          <w:highlight w:val="none"/>
        </w:rPr>
        <w:br w:type="page"/>
      </w:r>
      <w:r>
        <w:rPr>
          <w:rFonts w:hint="eastAsia" w:ascii="方正小标宋简体" w:hAnsi="方正小标宋简体" w:eastAsia="方正小标宋简体" w:cs="方正小标宋简体"/>
          <w:b w:val="0"/>
          <w:bCs w:val="0"/>
          <w:kern w:val="2"/>
          <w:sz w:val="28"/>
          <w:szCs w:val="28"/>
          <w:highlight w:val="none"/>
          <w:lang w:val="en-US" w:eastAsia="zh-CN" w:bidi="ar-SA"/>
        </w:rPr>
        <w:t>附件5</w:t>
      </w:r>
    </w:p>
    <w:p>
      <w:pPr>
        <w:keepNext w:val="0"/>
        <w:keepLines w:val="0"/>
        <w:pageBreakBefore w:val="0"/>
        <w:kinsoku/>
        <w:overflowPunct/>
        <w:topLinePunct w:val="0"/>
        <w:bidi w:val="0"/>
        <w:spacing w:line="5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龙港市投资项目</w:t>
      </w:r>
      <w:r>
        <w:rPr>
          <w:rFonts w:hint="eastAsia" w:ascii="方正小标宋简体" w:hAnsi="方正小标宋简体" w:eastAsia="方正小标宋简体" w:cs="方正小标宋简体"/>
          <w:sz w:val="44"/>
          <w:szCs w:val="44"/>
          <w:highlight w:val="none"/>
        </w:rPr>
        <w:t>竣工预验收容缺材料清单</w:t>
      </w:r>
    </w:p>
    <w:p>
      <w:pPr>
        <w:keepNext w:val="0"/>
        <w:keepLines w:val="0"/>
        <w:pageBreakBefore w:val="0"/>
        <w:kinsoku/>
        <w:overflowPunct/>
        <w:topLinePunct w:val="0"/>
        <w:bidi w:val="0"/>
        <w:spacing w:line="560" w:lineRule="exact"/>
        <w:rPr>
          <w:sz w:val="28"/>
          <w:szCs w:val="28"/>
          <w:highlight w:val="none"/>
        </w:rPr>
      </w:pPr>
    </w:p>
    <w:tbl>
      <w:tblPr>
        <w:tblStyle w:val="6"/>
        <w:tblW w:w="0" w:type="auto"/>
        <w:tblInd w:w="-65" w:type="dxa"/>
        <w:tblLayout w:type="fixed"/>
        <w:tblCellMar>
          <w:top w:w="0" w:type="dxa"/>
          <w:left w:w="108" w:type="dxa"/>
          <w:bottom w:w="0" w:type="dxa"/>
          <w:right w:w="108" w:type="dxa"/>
        </w:tblCellMar>
      </w:tblPr>
      <w:tblGrid>
        <w:gridCol w:w="874"/>
        <w:gridCol w:w="6287"/>
        <w:gridCol w:w="2402"/>
      </w:tblGrid>
      <w:tr>
        <w:tblPrEx>
          <w:tblCellMar>
            <w:top w:w="0" w:type="dxa"/>
            <w:left w:w="108" w:type="dxa"/>
            <w:bottom w:w="0" w:type="dxa"/>
            <w:right w:w="108" w:type="dxa"/>
          </w:tblCellMar>
        </w:tblPrEx>
        <w:trPr>
          <w:trHeight w:val="551" w:hRule="atLeast"/>
        </w:trPr>
        <w:tc>
          <w:tcPr>
            <w:tcW w:w="8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宋体" w:hAnsi="宋体" w:cs="宋体"/>
                <w:b/>
                <w:kern w:val="0"/>
                <w:sz w:val="24"/>
                <w:highlight w:val="none"/>
              </w:rPr>
            </w:pPr>
            <w:r>
              <w:rPr>
                <w:rFonts w:hint="eastAsia" w:ascii="宋体" w:hAnsi="宋体" w:cs="宋体"/>
                <w:b/>
                <w:kern w:val="0"/>
                <w:sz w:val="24"/>
                <w:highlight w:val="none"/>
              </w:rPr>
              <w:t>序号</w:t>
            </w:r>
          </w:p>
        </w:tc>
        <w:tc>
          <w:tcPr>
            <w:tcW w:w="6287" w:type="dxa"/>
            <w:tcBorders>
              <w:top w:val="single" w:color="auto" w:sz="4" w:space="0"/>
              <w:left w:val="nil"/>
              <w:bottom w:val="single" w:color="auto" w:sz="4" w:space="0"/>
              <w:right w:val="single" w:color="auto" w:sz="8"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宋体" w:hAnsi="宋体" w:cs="宋体"/>
                <w:b/>
                <w:kern w:val="0"/>
                <w:sz w:val="24"/>
                <w:highlight w:val="none"/>
              </w:rPr>
            </w:pPr>
            <w:r>
              <w:rPr>
                <w:rFonts w:hint="eastAsia" w:ascii="宋体" w:hAnsi="宋体" w:cs="宋体"/>
                <w:b/>
                <w:kern w:val="0"/>
                <w:sz w:val="24"/>
                <w:highlight w:val="none"/>
              </w:rPr>
              <w:t>材料名称</w:t>
            </w:r>
          </w:p>
        </w:tc>
        <w:tc>
          <w:tcPr>
            <w:tcW w:w="2402" w:type="dxa"/>
            <w:tcBorders>
              <w:top w:val="single" w:color="auto" w:sz="4" w:space="0"/>
              <w:left w:val="nil"/>
              <w:bottom w:val="single" w:color="auto" w:sz="4" w:space="0"/>
              <w:right w:val="single" w:color="auto" w:sz="8"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宋体" w:hAnsi="宋体" w:cs="宋体"/>
                <w:b/>
                <w:kern w:val="0"/>
                <w:sz w:val="24"/>
                <w:highlight w:val="none"/>
              </w:rPr>
            </w:pPr>
            <w:r>
              <w:rPr>
                <w:rFonts w:hint="eastAsia" w:ascii="宋体" w:hAnsi="宋体" w:cs="宋体"/>
                <w:b/>
                <w:kern w:val="0"/>
                <w:sz w:val="24"/>
                <w:highlight w:val="none"/>
              </w:rPr>
              <w:t>容缺说明</w:t>
            </w:r>
          </w:p>
        </w:tc>
      </w:tr>
      <w:tr>
        <w:tblPrEx>
          <w:tblCellMar>
            <w:top w:w="0" w:type="dxa"/>
            <w:left w:w="108" w:type="dxa"/>
            <w:bottom w:w="0" w:type="dxa"/>
            <w:right w:w="108" w:type="dxa"/>
          </w:tblCellMar>
        </w:tblPrEx>
        <w:trPr>
          <w:trHeight w:val="564" w:hRule="atLeast"/>
        </w:trPr>
        <w:tc>
          <w:tcPr>
            <w:tcW w:w="874"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w:t>
            </w:r>
          </w:p>
        </w:tc>
        <w:tc>
          <w:tcPr>
            <w:tcW w:w="6287" w:type="dxa"/>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overflowPunct/>
              <w:topLinePunct w:val="0"/>
              <w:bidi w:val="0"/>
              <w:spacing w:line="560" w:lineRule="exact"/>
              <w:jc w:val="left"/>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lang w:eastAsia="zh-CN"/>
              </w:rPr>
              <w:t>建筑</w:t>
            </w:r>
            <w:r>
              <w:rPr>
                <w:rFonts w:hint="eastAsia" w:ascii="仿宋_GB2312" w:hAnsi="仿宋_GB2312" w:eastAsia="仿宋_GB2312" w:cs="仿宋_GB2312"/>
                <w:kern w:val="0"/>
                <w:sz w:val="28"/>
                <w:szCs w:val="28"/>
                <w:highlight w:val="none"/>
              </w:rPr>
              <w:t>工程施工许可证</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c>
          <w:tcPr>
            <w:tcW w:w="2402" w:type="dxa"/>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通过数据共享自动获取</w:t>
            </w:r>
          </w:p>
        </w:tc>
      </w:tr>
      <w:tr>
        <w:tblPrEx>
          <w:tblCellMar>
            <w:top w:w="0" w:type="dxa"/>
            <w:left w:w="108" w:type="dxa"/>
            <w:bottom w:w="0" w:type="dxa"/>
            <w:right w:w="108" w:type="dxa"/>
          </w:tblCellMar>
        </w:tblPrEx>
        <w:trPr>
          <w:trHeight w:val="1500" w:hRule="atLeast"/>
        </w:trPr>
        <w:tc>
          <w:tcPr>
            <w:tcW w:w="874"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2</w:t>
            </w:r>
          </w:p>
        </w:tc>
        <w:tc>
          <w:tcPr>
            <w:tcW w:w="6287" w:type="dxa"/>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overflowPunct/>
              <w:topLinePunct w:val="0"/>
              <w:bidi w:val="0"/>
              <w:spacing w:line="560" w:lineRule="exact"/>
              <w:jc w:val="left"/>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各方主体签署的授权书、承诺书：</w:t>
            </w:r>
          </w:p>
          <w:p>
            <w:pPr>
              <w:keepNext w:val="0"/>
              <w:keepLines w:val="0"/>
              <w:pageBreakBefore w:val="0"/>
              <w:widowControl/>
              <w:kinsoku/>
              <w:overflowPunct/>
              <w:topLinePunct w:val="0"/>
              <w:bidi w:val="0"/>
              <w:spacing w:line="560" w:lineRule="exact"/>
              <w:jc w:val="left"/>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建设</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份、勘察</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份、设计</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份、施工</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份、监理</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c>
          <w:tcPr>
            <w:tcW w:w="2402" w:type="dxa"/>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容缺受理</w:t>
            </w:r>
          </w:p>
        </w:tc>
      </w:tr>
      <w:tr>
        <w:tblPrEx>
          <w:tblCellMar>
            <w:top w:w="0" w:type="dxa"/>
            <w:left w:w="108" w:type="dxa"/>
            <w:bottom w:w="0" w:type="dxa"/>
            <w:right w:w="108" w:type="dxa"/>
          </w:tblCellMar>
        </w:tblPrEx>
        <w:trPr>
          <w:trHeight w:val="1188" w:hRule="atLeast"/>
        </w:trPr>
        <w:tc>
          <w:tcPr>
            <w:tcW w:w="874"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3</w:t>
            </w:r>
          </w:p>
        </w:tc>
        <w:tc>
          <w:tcPr>
            <w:tcW w:w="6287" w:type="dxa"/>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overflowPunct/>
              <w:topLinePunct w:val="0"/>
              <w:bidi w:val="0"/>
              <w:spacing w:line="560" w:lineRule="exact"/>
              <w:jc w:val="left"/>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现场管理技术人员登记表：建设</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份、施工</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份、监理</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c>
          <w:tcPr>
            <w:tcW w:w="2402" w:type="dxa"/>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容缺受理</w:t>
            </w:r>
          </w:p>
        </w:tc>
      </w:tr>
      <w:tr>
        <w:tblPrEx>
          <w:tblCellMar>
            <w:top w:w="0" w:type="dxa"/>
            <w:left w:w="108" w:type="dxa"/>
            <w:bottom w:w="0" w:type="dxa"/>
            <w:right w:w="108" w:type="dxa"/>
          </w:tblCellMar>
        </w:tblPrEx>
        <w:trPr>
          <w:trHeight w:val="1776" w:hRule="atLeast"/>
        </w:trPr>
        <w:tc>
          <w:tcPr>
            <w:tcW w:w="874"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4</w:t>
            </w:r>
          </w:p>
        </w:tc>
        <w:tc>
          <w:tcPr>
            <w:tcW w:w="6287" w:type="dxa"/>
            <w:tcBorders>
              <w:top w:val="nil"/>
              <w:left w:val="nil"/>
              <w:bottom w:val="single" w:color="auto" w:sz="4" w:space="0"/>
              <w:right w:val="single" w:color="auto" w:sz="8" w:space="0"/>
              <w:tl2br w:val="nil"/>
              <w:tr2bl w:val="nil"/>
            </w:tcBorders>
            <w:noWrap w:val="0"/>
            <w:vAlign w:val="center"/>
          </w:tcPr>
          <w:p>
            <w:pPr>
              <w:keepNext w:val="0"/>
              <w:keepLines w:val="0"/>
              <w:pageBreakBefore w:val="0"/>
              <w:widowControl/>
              <w:kinsoku/>
              <w:overflowPunct/>
              <w:topLinePunct w:val="0"/>
              <w:bidi w:val="0"/>
              <w:spacing w:line="560" w:lineRule="exact"/>
              <w:jc w:val="left"/>
              <w:rPr>
                <w:rFonts w:ascii="仿宋_GB2312" w:hAnsi="仿宋_GB2312" w:eastAsia="仿宋_GB2312" w:cs="仿宋_GB2312"/>
                <w:kern w:val="0"/>
                <w:sz w:val="28"/>
                <w:szCs w:val="28"/>
                <w:highlight w:val="none"/>
              </w:rPr>
            </w:pPr>
          </w:p>
          <w:p>
            <w:pPr>
              <w:keepNext w:val="0"/>
              <w:keepLines w:val="0"/>
              <w:pageBreakBefore w:val="0"/>
              <w:widowControl/>
              <w:kinsoku/>
              <w:overflowPunct/>
              <w:topLinePunct w:val="0"/>
              <w:bidi w:val="0"/>
              <w:spacing w:line="56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重要检测报告： </w:t>
            </w:r>
          </w:p>
          <w:p>
            <w:pPr>
              <w:keepNext w:val="0"/>
              <w:keepLines w:val="0"/>
              <w:pageBreakBefore w:val="0"/>
              <w:widowControl/>
              <w:kinsoku/>
              <w:overflowPunct/>
              <w:topLinePunct w:val="0"/>
              <w:bidi w:val="0"/>
              <w:spacing w:line="56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eastAsia="zh-CN"/>
              </w:rPr>
              <w:t>电梯</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份、智能</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份、生活用水</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份、</w:t>
            </w:r>
            <w:r>
              <w:rPr>
                <w:rFonts w:hint="eastAsia" w:ascii="仿宋_GB2312" w:hAnsi="仿宋_GB2312" w:eastAsia="仿宋_GB2312" w:cs="仿宋_GB2312"/>
                <w:color w:val="auto"/>
                <w:kern w:val="0"/>
                <w:sz w:val="28"/>
                <w:szCs w:val="28"/>
                <w:highlight w:val="none"/>
              </w:rPr>
              <w:t>幕墙</w:t>
            </w:r>
          </w:p>
          <w:p>
            <w:pPr>
              <w:keepNext w:val="0"/>
              <w:keepLines w:val="0"/>
              <w:pageBreakBefore w:val="0"/>
              <w:widowControl/>
              <w:kinsoku/>
              <w:overflowPunct/>
              <w:topLinePunct w:val="0"/>
              <w:bidi w:val="0"/>
              <w:spacing w:line="560" w:lineRule="exact"/>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rPr>
              <w:t>份、</w:t>
            </w:r>
            <w:r>
              <w:rPr>
                <w:rFonts w:hint="eastAsia" w:ascii="仿宋_GB2312" w:hAnsi="仿宋_GB2312" w:eastAsia="仿宋_GB2312" w:cs="仿宋_GB2312"/>
                <w:color w:val="auto"/>
                <w:kern w:val="0"/>
                <w:sz w:val="28"/>
                <w:szCs w:val="28"/>
                <w:highlight w:val="none"/>
                <w:lang w:eastAsia="zh-CN"/>
              </w:rPr>
              <w:t>防雷</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份、高压设备</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份、继电保护</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 xml:space="preserve"> </w:t>
            </w:r>
          </w:p>
          <w:p>
            <w:pPr>
              <w:keepNext w:val="0"/>
              <w:keepLines w:val="0"/>
              <w:pageBreakBefore w:val="0"/>
              <w:widowControl/>
              <w:kinsoku/>
              <w:overflowPunct/>
              <w:topLinePunct w:val="0"/>
              <w:bidi w:val="0"/>
              <w:spacing w:line="560" w:lineRule="exact"/>
              <w:jc w:val="left"/>
              <w:rPr>
                <w:rFonts w:hint="eastAsia" w:eastAsia="仿宋_GB2312"/>
                <w:color w:val="auto"/>
                <w:highlight w:val="none"/>
                <w:lang w:val="en-US" w:eastAsia="zh-CN"/>
              </w:rPr>
            </w:pPr>
            <w:r>
              <w:rPr>
                <w:rFonts w:hint="eastAsia" w:ascii="仿宋_GB2312" w:hAnsi="仿宋_GB2312" w:eastAsia="仿宋_GB2312" w:cs="仿宋_GB2312"/>
                <w:color w:val="auto"/>
                <w:kern w:val="0"/>
                <w:sz w:val="28"/>
                <w:szCs w:val="28"/>
                <w:highlight w:val="none"/>
                <w:lang w:val="en-US" w:eastAsia="zh-CN"/>
              </w:rPr>
              <w:t>份、接地电阻</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份、室内环境</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份、节能</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lang w:val="en-US" w:eastAsia="zh-CN"/>
              </w:rPr>
              <w:t>份</w:t>
            </w:r>
          </w:p>
          <w:p>
            <w:pPr>
              <w:keepNext w:val="0"/>
              <w:keepLines w:val="0"/>
              <w:pageBreakBefore w:val="0"/>
              <w:widowControl/>
              <w:kinsoku/>
              <w:overflowPunct/>
              <w:topLinePunct w:val="0"/>
              <w:bidi w:val="0"/>
              <w:spacing w:line="560" w:lineRule="exact"/>
              <w:jc w:val="left"/>
              <w:rPr>
                <w:rFonts w:ascii="仿宋_GB2312" w:hAnsi="仿宋_GB2312" w:eastAsia="仿宋_GB2312" w:cs="仿宋_GB2312"/>
                <w:kern w:val="0"/>
                <w:sz w:val="28"/>
                <w:szCs w:val="28"/>
                <w:highlight w:val="none"/>
              </w:rPr>
            </w:pPr>
          </w:p>
        </w:tc>
        <w:tc>
          <w:tcPr>
            <w:tcW w:w="2402" w:type="dxa"/>
            <w:tcBorders>
              <w:top w:val="nil"/>
              <w:left w:val="nil"/>
              <w:bottom w:val="single" w:color="auto" w:sz="4" w:space="0"/>
              <w:right w:val="single" w:color="auto" w:sz="8"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容缺受理</w:t>
            </w:r>
          </w:p>
        </w:tc>
      </w:tr>
      <w:tr>
        <w:tblPrEx>
          <w:tblCellMar>
            <w:top w:w="0" w:type="dxa"/>
            <w:left w:w="108" w:type="dxa"/>
            <w:bottom w:w="0" w:type="dxa"/>
            <w:right w:w="108" w:type="dxa"/>
          </w:tblCellMar>
        </w:tblPrEx>
        <w:trPr>
          <w:trHeight w:val="813" w:hRule="atLeast"/>
        </w:trPr>
        <w:tc>
          <w:tcPr>
            <w:tcW w:w="874"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5</w:t>
            </w:r>
          </w:p>
        </w:tc>
        <w:tc>
          <w:tcPr>
            <w:tcW w:w="6287" w:type="dxa"/>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overflowPunct/>
              <w:topLinePunct w:val="0"/>
              <w:bidi w:val="0"/>
              <w:spacing w:line="560" w:lineRule="exact"/>
              <w:jc w:val="left"/>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施工单位签署的工程质量保修书</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c>
          <w:tcPr>
            <w:tcW w:w="2402" w:type="dxa"/>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容缺受理</w:t>
            </w:r>
          </w:p>
        </w:tc>
      </w:tr>
      <w:tr>
        <w:tblPrEx>
          <w:tblCellMar>
            <w:top w:w="0" w:type="dxa"/>
            <w:left w:w="108" w:type="dxa"/>
            <w:bottom w:w="0" w:type="dxa"/>
            <w:right w:w="108" w:type="dxa"/>
          </w:tblCellMar>
        </w:tblPrEx>
        <w:trPr>
          <w:trHeight w:val="970" w:hRule="atLeast"/>
        </w:trPr>
        <w:tc>
          <w:tcPr>
            <w:tcW w:w="874"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6</w:t>
            </w:r>
          </w:p>
        </w:tc>
        <w:tc>
          <w:tcPr>
            <w:tcW w:w="6287" w:type="dxa"/>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overflowPunct/>
              <w:topLinePunct w:val="0"/>
              <w:bidi w:val="0"/>
              <w:spacing w:line="560" w:lineRule="exact"/>
              <w:jc w:val="left"/>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规划核实确认书</w:t>
            </w:r>
            <w:r>
              <w:rPr>
                <w:rFonts w:hint="eastAsia" w:ascii="仿宋_GB2312" w:hAnsi="仿宋_GB2312" w:eastAsia="仿宋_GB2312" w:cs="仿宋_GB2312"/>
                <w:kern w:val="0"/>
                <w:sz w:val="28"/>
                <w:szCs w:val="28"/>
                <w:highlight w:val="none"/>
                <w:u w:val="single"/>
              </w:rPr>
              <w:t xml:space="preserve">    </w:t>
            </w:r>
            <w:r>
              <w:rPr>
                <w:rFonts w:hint="eastAsia" w:ascii="仿宋_GB2312" w:hAnsi="仿宋_GB2312" w:eastAsia="仿宋_GB2312" w:cs="仿宋_GB2312"/>
                <w:kern w:val="0"/>
                <w:sz w:val="28"/>
                <w:szCs w:val="28"/>
                <w:highlight w:val="none"/>
              </w:rPr>
              <w:t>份</w:t>
            </w:r>
          </w:p>
        </w:tc>
        <w:tc>
          <w:tcPr>
            <w:tcW w:w="2402" w:type="dxa"/>
            <w:tcBorders>
              <w:top w:val="single" w:color="auto" w:sz="4" w:space="0"/>
              <w:left w:val="nil"/>
              <w:bottom w:val="single" w:color="auto" w:sz="4" w:space="0"/>
              <w:right w:val="single" w:color="000000" w:sz="8" w:space="0"/>
              <w:tl2br w:val="nil"/>
              <w:tr2bl w:val="nil"/>
            </w:tcBorders>
            <w:noWrap w:val="0"/>
            <w:vAlign w:val="center"/>
          </w:tcPr>
          <w:p>
            <w:pPr>
              <w:keepNext w:val="0"/>
              <w:keepLines w:val="0"/>
              <w:pageBreakBefore w:val="0"/>
              <w:widowControl/>
              <w:kinsoku/>
              <w:overflowPunct/>
              <w:topLinePunct w:val="0"/>
              <w:bidi w:val="0"/>
              <w:spacing w:line="560" w:lineRule="exact"/>
              <w:jc w:val="center"/>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容缺受理</w:t>
            </w:r>
          </w:p>
        </w:tc>
      </w:tr>
    </w:tbl>
    <w:p>
      <w:pPr>
        <w:keepNext w:val="0"/>
        <w:keepLines w:val="0"/>
        <w:pageBreakBefore w:val="0"/>
        <w:kinsoku/>
        <w:overflowPunct/>
        <w:topLinePunct w:val="0"/>
        <w:bidi w:val="0"/>
        <w:spacing w:line="56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备注：1、材料份数根据申请预验收的单体数量确定；</w:t>
      </w:r>
    </w:p>
    <w:p>
      <w:pPr>
        <w:pStyle w:val="2"/>
        <w:keepNext w:val="0"/>
        <w:keepLines w:val="0"/>
        <w:pageBreakBefore w:val="0"/>
        <w:kinsoku/>
        <w:overflowPunct/>
        <w:topLinePunct w:val="0"/>
        <w:bidi w:val="0"/>
        <w:spacing w:line="560" w:lineRule="exact"/>
        <w:ind w:firstLine="280"/>
        <w:rPr>
          <w:rFonts w:eastAsia="仿宋_GB2312"/>
          <w:highlight w:val="none"/>
        </w:rPr>
      </w:pPr>
      <w:r>
        <w:rPr>
          <w:rFonts w:hint="eastAsia" w:ascii="仿宋_GB2312" w:hAnsi="仿宋_GB2312" w:eastAsia="仿宋_GB2312" w:cs="仿宋_GB2312"/>
          <w:sz w:val="28"/>
          <w:szCs w:val="28"/>
          <w:highlight w:val="none"/>
        </w:rPr>
        <w:t xml:space="preserve">    2、容缺的材料需在申请联合竣工验收前补齐。</w:t>
      </w:r>
    </w:p>
    <w:p>
      <w:pPr>
        <w:keepNext w:val="0"/>
        <w:keepLines w:val="0"/>
        <w:pageBreakBefore w:val="0"/>
        <w:kinsoku/>
        <w:overflowPunct/>
        <w:topLinePunct w:val="0"/>
        <w:bidi w:val="0"/>
        <w:spacing w:line="560" w:lineRule="exact"/>
        <w:rPr>
          <w:rFonts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rPr>
          <w:rFonts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rPr>
          <w:rFonts w:hint="eastAsia" w:ascii="黑体" w:hAnsi="黑体" w:eastAsia="黑体" w:cs="黑体"/>
          <w:sz w:val="36"/>
          <w:szCs w:val="36"/>
          <w:highlight w:val="none"/>
          <w:lang w:val="en-US"/>
        </w:rPr>
      </w:pPr>
      <w:r>
        <w:rPr>
          <w:rFonts w:hint="eastAsia" w:ascii="黑体" w:hAnsi="黑体" w:eastAsia="黑体" w:cs="黑体"/>
          <w:sz w:val="36"/>
          <w:szCs w:val="36"/>
          <w:highlight w:val="none"/>
        </w:rPr>
        <w:br w:type="page"/>
      </w:r>
      <w:r>
        <w:rPr>
          <w:rFonts w:hint="eastAsia" w:ascii="方正小标宋简体" w:hAnsi="方正小标宋简体" w:eastAsia="方正小标宋简体" w:cs="方正小标宋简体"/>
          <w:b w:val="0"/>
          <w:bCs w:val="0"/>
          <w:sz w:val="28"/>
          <w:szCs w:val="28"/>
          <w:highlight w:val="none"/>
          <w:lang w:val="en-US" w:eastAsia="zh-CN"/>
        </w:rPr>
        <w:t>附件6</w:t>
      </w:r>
    </w:p>
    <w:p>
      <w:pPr>
        <w:keepNext w:val="0"/>
        <w:keepLines w:val="0"/>
        <w:pageBreakBefore w:val="0"/>
        <w:kinsoku/>
        <w:overflowPunct/>
        <w:topLinePunct w:val="0"/>
        <w:bidi w:val="0"/>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龙港市投资项目“预验即投用”申请承诺书</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为早日投产，我单位特申请“预验即投产”并作以下承诺：</w:t>
      </w:r>
    </w:p>
    <w:p>
      <w:pPr>
        <w:keepNext w:val="0"/>
        <w:keepLines w:val="0"/>
        <w:pageBreakBefore w:val="0"/>
        <w:kinsoku/>
        <w:overflowPunct/>
        <w:topLinePunct w:val="0"/>
        <w:bidi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1.确保</w:t>
      </w:r>
      <w:r>
        <w:rPr>
          <w:rFonts w:hint="eastAsia" w:ascii="仿宋_GB2312" w:hAnsi="仿宋_GB2312" w:eastAsia="仿宋_GB2312" w:cs="仿宋_GB2312"/>
          <w:sz w:val="32"/>
          <w:szCs w:val="32"/>
          <w:highlight w:val="none"/>
          <w:lang w:eastAsia="zh-CN"/>
        </w:rPr>
        <w:t>项目已</w:t>
      </w:r>
      <w:r>
        <w:rPr>
          <w:rFonts w:hint="eastAsia" w:ascii="仿宋_GB2312" w:hAnsi="仿宋_GB2312" w:eastAsia="仿宋_GB2312" w:cs="仿宋_GB2312"/>
          <w:sz w:val="32"/>
          <w:szCs w:val="32"/>
          <w:highlight w:val="none"/>
        </w:rPr>
        <w:t>完成主体</w:t>
      </w:r>
      <w:r>
        <w:rPr>
          <w:rFonts w:hint="eastAsia" w:ascii="仿宋_GB2312" w:hAnsi="仿宋_GB2312" w:eastAsia="仿宋_GB2312" w:cs="仿宋_GB2312"/>
          <w:sz w:val="32"/>
          <w:szCs w:val="32"/>
          <w:highlight w:val="none"/>
          <w:lang w:eastAsia="zh-CN"/>
        </w:rPr>
        <w:t>结构建设</w:t>
      </w:r>
      <w:r>
        <w:rPr>
          <w:rFonts w:hint="eastAsia" w:ascii="仿宋_GB2312" w:hAnsi="仿宋_GB2312" w:eastAsia="仿宋_GB2312" w:cs="仿宋_GB2312"/>
          <w:sz w:val="32"/>
          <w:szCs w:val="32"/>
          <w:highlight w:val="none"/>
        </w:rPr>
        <w:t>。内部建筑平面布置、防火分隔、安全疏散等建筑消防指标符合国家建设工程消防技术标准的有关要求。无违法违建行为。</w:t>
      </w:r>
    </w:p>
    <w:p>
      <w:pPr>
        <w:keepNext w:val="0"/>
        <w:keepLines w:val="0"/>
        <w:pageBreakBefore w:val="0"/>
        <w:kinsoku/>
        <w:overflowPunct/>
        <w:topLinePunct w:val="0"/>
        <w:bidi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2.在</w:t>
      </w:r>
      <w:r>
        <w:rPr>
          <w:rFonts w:hint="eastAsia" w:ascii="仿宋_GB2312" w:hAnsi="仿宋_GB2312" w:eastAsia="仿宋_GB2312" w:cs="仿宋_GB2312"/>
          <w:sz w:val="32"/>
          <w:szCs w:val="32"/>
          <w:highlight w:val="none"/>
          <w:lang w:eastAsia="zh-CN"/>
        </w:rPr>
        <w:t>投用</w:t>
      </w:r>
      <w:r>
        <w:rPr>
          <w:rFonts w:hint="eastAsia" w:ascii="仿宋_GB2312" w:hAnsi="仿宋_GB2312" w:eastAsia="仿宋_GB2312" w:cs="仿宋_GB2312"/>
          <w:sz w:val="32"/>
          <w:szCs w:val="32"/>
          <w:highlight w:val="none"/>
        </w:rPr>
        <w:t>过程中，保证不变动主体结构、平面布局和使用功能，同时落实</w:t>
      </w:r>
      <w:r>
        <w:rPr>
          <w:rFonts w:hint="eastAsia" w:ascii="仿宋_GB2312" w:hAnsi="仿宋_GB2312" w:eastAsia="仿宋_GB2312" w:cs="仿宋_GB2312"/>
          <w:sz w:val="32"/>
          <w:szCs w:val="32"/>
          <w:highlight w:val="none"/>
          <w:lang w:eastAsia="zh-CN"/>
        </w:rPr>
        <w:t>投用</w:t>
      </w:r>
      <w:r>
        <w:rPr>
          <w:rFonts w:hint="eastAsia" w:ascii="仿宋_GB2312" w:hAnsi="仿宋_GB2312" w:eastAsia="仿宋_GB2312" w:cs="仿宋_GB2312"/>
          <w:sz w:val="32"/>
          <w:szCs w:val="32"/>
          <w:highlight w:val="none"/>
        </w:rPr>
        <w:t>过程中的各项安全措施。</w:t>
      </w:r>
    </w:p>
    <w:p>
      <w:pPr>
        <w:keepNext w:val="0"/>
        <w:keepLines w:val="0"/>
        <w:pageBreakBefore w:val="0"/>
        <w:kinsoku/>
        <w:overflowPunct/>
        <w:topLinePunct w:val="0"/>
        <w:bidi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3.在</w:t>
      </w:r>
      <w:r>
        <w:rPr>
          <w:rFonts w:hint="eastAsia" w:ascii="仿宋_GB2312" w:hAnsi="仿宋_GB2312" w:eastAsia="仿宋_GB2312" w:cs="仿宋_GB2312"/>
          <w:sz w:val="32"/>
          <w:szCs w:val="32"/>
          <w:highlight w:val="none"/>
          <w:lang w:eastAsia="zh-CN"/>
        </w:rPr>
        <w:t>投用</w:t>
      </w:r>
      <w:r>
        <w:rPr>
          <w:rFonts w:hint="eastAsia" w:ascii="仿宋_GB2312" w:hAnsi="仿宋_GB2312" w:eastAsia="仿宋_GB2312" w:cs="仿宋_GB2312"/>
          <w:sz w:val="32"/>
          <w:szCs w:val="32"/>
          <w:highlight w:val="none"/>
        </w:rPr>
        <w:t>过程中，自觉接受有关部门监督，及时做好各类问题整改。</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4.尽快完成场外配套等后续建设工程，确保工程质量和施工安全。</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5.容缺的各类专项检测及竣工资料在申报联合竣工验收前予以补齐。</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6.履行安全生产主体责任。</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7.如实填报“浙里建”申报各方数据。</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如若违反承诺愿承担以下后果责任：</w:t>
      </w:r>
    </w:p>
    <w:p>
      <w:pPr>
        <w:keepNext w:val="0"/>
        <w:keepLines w:val="0"/>
        <w:pageBreakBefore w:val="0"/>
        <w:kinsoku/>
        <w:overflowPunct/>
        <w:topLinePunct w:val="0"/>
        <w:bidi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不履行承诺义务或者履行承诺义务不符合承诺的，应当承担继续履行、采取补救措施或者限期改正直至停产恢复原状等违约责任。</w:t>
      </w:r>
    </w:p>
    <w:p>
      <w:pPr>
        <w:keepNext w:val="0"/>
        <w:keepLines w:val="0"/>
        <w:pageBreakBefore w:val="0"/>
        <w:kinsoku/>
        <w:overflowPunct/>
        <w:topLinePunct w:val="0"/>
        <w:bidi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预验即投用期间</w:t>
      </w:r>
      <w:r>
        <w:rPr>
          <w:rFonts w:hint="eastAsia" w:ascii="仿宋_GB2312" w:hAnsi="仿宋_GB2312" w:eastAsia="仿宋_GB2312" w:cs="仿宋_GB2312"/>
          <w:sz w:val="32"/>
          <w:szCs w:val="32"/>
          <w:highlight w:val="none"/>
        </w:rPr>
        <w:t>有违法行为的，</w:t>
      </w:r>
      <w:r>
        <w:rPr>
          <w:rFonts w:hint="eastAsia" w:ascii="仿宋_GB2312" w:hAnsi="仿宋_GB2312" w:eastAsia="仿宋_GB2312" w:cs="仿宋_GB2312"/>
          <w:sz w:val="32"/>
          <w:szCs w:val="32"/>
          <w:highlight w:val="none"/>
          <w:lang w:eastAsia="zh-CN"/>
        </w:rPr>
        <w:t>自愿接受相关</w:t>
      </w:r>
      <w:r>
        <w:rPr>
          <w:rFonts w:hint="eastAsia" w:ascii="仿宋_GB2312" w:hAnsi="仿宋_GB2312" w:eastAsia="仿宋_GB2312" w:cs="仿宋_GB2312"/>
          <w:sz w:val="32"/>
          <w:szCs w:val="32"/>
          <w:highlight w:val="none"/>
        </w:rPr>
        <w:t>行政处罚。</w:t>
      </w:r>
    </w:p>
    <w:p>
      <w:pPr>
        <w:keepNext w:val="0"/>
        <w:keepLines w:val="0"/>
        <w:pageBreakBefore w:val="0"/>
        <w:kinsoku/>
        <w:overflowPunct/>
        <w:topLinePunct w:val="0"/>
        <w:bidi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不履行承诺义务或者在履行承诺过程中存在隐瞒、欺诈行为的，依照相关规定承担法律责任。由此造成项目竣工验收通不过的，相应损失及后果自行承担。</w:t>
      </w:r>
    </w:p>
    <w:p>
      <w:pPr>
        <w:keepNext w:val="0"/>
        <w:keepLines w:val="0"/>
        <w:pageBreakBefore w:val="0"/>
        <w:kinsoku/>
        <w:overflowPunct/>
        <w:topLinePunct w:val="0"/>
        <w:bidi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因不可抗力不能履行承诺的，根据不可抗力的影响，部分或者全部免除责任，并限期采取补救整改措施，但法律另有规定的除外。迟延履行后发生不可抗力的，不能免除责任。</w:t>
      </w:r>
    </w:p>
    <w:p>
      <w:pPr>
        <w:pStyle w:val="2"/>
        <w:keepNext w:val="0"/>
        <w:keepLines w:val="0"/>
        <w:pageBreakBefore w:val="0"/>
        <w:kinsoku/>
        <w:overflowPunct/>
        <w:topLinePunct w:val="0"/>
        <w:bidi w:val="0"/>
        <w:spacing w:line="560" w:lineRule="exact"/>
        <w:ind w:firstLine="210"/>
        <w:rPr>
          <w:highlight w:val="none"/>
        </w:rPr>
      </w:pPr>
    </w:p>
    <w:p>
      <w:pPr>
        <w:keepNext w:val="0"/>
        <w:keepLines w:val="0"/>
        <w:pageBreakBefore w:val="0"/>
        <w:kinsoku/>
        <w:overflowPunct/>
        <w:topLinePunct w:val="0"/>
        <w:bidi w:val="0"/>
        <w:spacing w:line="560" w:lineRule="exact"/>
        <w:ind w:firstLine="320" w:firstLineChars="1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承诺单位</w:t>
      </w:r>
      <w:r>
        <w:rPr>
          <w:rFonts w:hint="eastAsia" w:ascii="仿宋_GB2312" w:hAnsi="仿宋_GB2312" w:eastAsia="仿宋_GB2312" w:cs="仿宋_GB2312"/>
          <w:sz w:val="32"/>
          <w:szCs w:val="32"/>
          <w:highlight w:val="none"/>
        </w:rPr>
        <w:t xml:space="preserve">（盖公章）：      </w:t>
      </w:r>
    </w:p>
    <w:p>
      <w:pPr>
        <w:keepNext w:val="0"/>
        <w:keepLines w:val="0"/>
        <w:pageBreakBefore w:val="0"/>
        <w:kinsoku/>
        <w:overflowPunct/>
        <w:topLinePunct w:val="0"/>
        <w:bidi w:val="0"/>
        <w:spacing w:line="560" w:lineRule="exact"/>
        <w:rPr>
          <w:rFonts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320" w:firstLineChars="1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法定代表人签字：             </w:t>
      </w:r>
    </w:p>
    <w:p>
      <w:pPr>
        <w:keepNext w:val="0"/>
        <w:keepLines w:val="0"/>
        <w:pageBreakBefore w:val="0"/>
        <w:kinsoku/>
        <w:overflowPunct/>
        <w:topLinePunct w:val="0"/>
        <w:bidi w:val="0"/>
        <w:spacing w:line="560" w:lineRule="exact"/>
        <w:rPr>
          <w:rFonts w:ascii="仿宋_GB2312" w:hAnsi="仿宋_GB2312" w:eastAsia="仿宋_GB2312" w:cs="仿宋_GB2312"/>
          <w:sz w:val="32"/>
          <w:szCs w:val="32"/>
          <w:highlight w:val="none"/>
        </w:rPr>
      </w:pPr>
    </w:p>
    <w:p>
      <w:pPr>
        <w:keepNext w:val="0"/>
        <w:keepLines w:val="0"/>
        <w:pageBreakBefore w:val="0"/>
        <w:kinsoku/>
        <w:overflowPunct/>
        <w:topLinePunct w:val="0"/>
        <w:bidi w:val="0"/>
        <w:spacing w:line="560" w:lineRule="exact"/>
        <w:ind w:firstLine="320" w:firstLineChars="100"/>
        <w:jc w:val="right"/>
        <w:rPr>
          <w:rFonts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 xml:space="preserve">                                 年   月   日</w:t>
      </w:r>
    </w:p>
    <w:p>
      <w:pPr>
        <w:pStyle w:val="2"/>
        <w:keepNext w:val="0"/>
        <w:keepLines w:val="0"/>
        <w:pageBreakBefore w:val="0"/>
        <w:kinsoku/>
        <w:overflowPunct/>
        <w:topLinePunct w:val="0"/>
        <w:bidi w:val="0"/>
        <w:spacing w:line="560" w:lineRule="exact"/>
        <w:rPr>
          <w:color w:val="000000"/>
          <w:highlight w:val="none"/>
        </w:rPr>
      </w:pPr>
    </w:p>
    <w:p>
      <w:pPr>
        <w:keepNext w:val="0"/>
        <w:keepLines w:val="0"/>
        <w:pageBreakBefore w:val="0"/>
        <w:kinsoku/>
        <w:overflowPunct/>
        <w:topLinePunct w:val="0"/>
        <w:bidi w:val="0"/>
        <w:spacing w:line="560" w:lineRule="exact"/>
        <w:rPr>
          <w:rFonts w:hint="eastAsia"/>
          <w:color w:val="000000"/>
          <w:highlight w:val="none"/>
          <w:lang w:val="en-US" w:eastAsia="zh-CN"/>
        </w:rPr>
      </w:pPr>
    </w:p>
    <w:p>
      <w:pPr>
        <w:keepNext w:val="0"/>
        <w:keepLines w:val="0"/>
        <w:pageBreakBefore w:val="0"/>
        <w:kinsoku/>
        <w:overflowPunct/>
        <w:topLinePunct w:val="0"/>
        <w:bidi w:val="0"/>
        <w:spacing w:line="560" w:lineRule="exact"/>
        <w:rPr>
          <w:rFonts w:hint="eastAsia"/>
          <w:color w:val="000000"/>
          <w:highlight w:val="none"/>
          <w:lang w:val="en-US" w:eastAsia="zh-CN"/>
        </w:rPr>
      </w:pPr>
    </w:p>
    <w:p>
      <w:pPr>
        <w:pStyle w:val="2"/>
        <w:keepNext w:val="0"/>
        <w:keepLines w:val="0"/>
        <w:pageBreakBefore w:val="0"/>
        <w:kinsoku/>
        <w:overflowPunct/>
        <w:topLinePunct w:val="0"/>
        <w:bidi w:val="0"/>
        <w:spacing w:line="560" w:lineRule="exact"/>
        <w:rPr>
          <w:rFonts w:hint="eastAsia"/>
          <w:color w:val="000000"/>
          <w:highlight w:val="none"/>
          <w:lang w:val="en-US" w:eastAsia="zh-CN"/>
        </w:rPr>
      </w:pPr>
    </w:p>
    <w:p>
      <w:pPr>
        <w:pStyle w:val="5"/>
        <w:keepNext w:val="0"/>
        <w:keepLines w:val="0"/>
        <w:pageBreakBefore w:val="0"/>
        <w:kinsoku/>
        <w:overflowPunct/>
        <w:topLinePunct w:val="0"/>
        <w:bidi w:val="0"/>
        <w:spacing w:line="560" w:lineRule="exact"/>
        <w:ind w:left="0" w:leftChars="0" w:firstLine="0" w:firstLineChars="0"/>
        <w:rPr>
          <w:rFonts w:hint="eastAsia"/>
          <w:color w:val="000000"/>
          <w:highlight w:val="none"/>
          <w:lang w:val="en-US" w:eastAsia="zh-CN"/>
        </w:rPr>
      </w:pPr>
    </w:p>
    <w:p>
      <w:pPr>
        <w:keepNext w:val="0"/>
        <w:keepLines w:val="0"/>
        <w:pageBreakBefore w:val="0"/>
        <w:kinsoku/>
        <w:overflowPunct/>
        <w:topLinePunct w:val="0"/>
        <w:bidi w:val="0"/>
        <w:spacing w:line="560" w:lineRule="exact"/>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rPr>
          <w:highlight w:val="none"/>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4"/>
                      <w:rPr>
                        <w:rStyle w:val="9"/>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Style w:val="9"/>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kNmFmYzc1MWFmMmY2OTYzZDg1NDg4Mzg1MDNjMzkifQ=="/>
  </w:docVars>
  <w:rsids>
    <w:rsidRoot w:val="511A7053"/>
    <w:rsid w:val="08AB4C8F"/>
    <w:rsid w:val="11B31EC7"/>
    <w:rsid w:val="22FF7A6F"/>
    <w:rsid w:val="2F1372E1"/>
    <w:rsid w:val="3B4C3DA6"/>
    <w:rsid w:val="3CA7456C"/>
    <w:rsid w:val="3E6D3687"/>
    <w:rsid w:val="411D45F8"/>
    <w:rsid w:val="4A2F3EE7"/>
    <w:rsid w:val="4DFC351C"/>
    <w:rsid w:val="4EF163B8"/>
    <w:rsid w:val="511A7053"/>
    <w:rsid w:val="54EB1CFC"/>
    <w:rsid w:val="68494AFA"/>
    <w:rsid w:val="6C2C73A8"/>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rPr>
      <w:szCs w:val="22"/>
    </w:rPr>
  </w:style>
  <w:style w:type="paragraph" w:styleId="3">
    <w:name w:val="Body Text"/>
    <w:basedOn w:val="1"/>
    <w:next w:val="2"/>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toc 6"/>
    <w:basedOn w:val="1"/>
    <w:next w:val="1"/>
    <w:unhideWhenUsed/>
    <w:qFormat/>
    <w:uiPriority w:val="39"/>
    <w:pPr>
      <w:ind w:left="2100" w:leftChars="10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rPr>
      <w:rFonts w:cs="Times New Roman"/>
    </w:rPr>
  </w:style>
  <w:style w:type="paragraph" w:customStyle="1" w:styleId="10">
    <w:name w:val="toc 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8620</Words>
  <Characters>8712</Characters>
  <Lines>0</Lines>
  <Paragraphs>0</Paragraphs>
  <TotalTime>2</TotalTime>
  <ScaleCrop>false</ScaleCrop>
  <LinksUpToDate>false</LinksUpToDate>
  <CharactersWithSpaces>9459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2023-04-27T00:46:00Z</dcterms:created>
  <dc:creator>龙港市政务中心</dc:creator>
  <cp:lastModifiedBy>龙港市政务中心</cp:lastModifiedBy>
  <cp:lastPrinted>2023-04-27T01:26:00Z</cp:lastPrinted>
  <dcterms:modified xsi:type="dcterms:W3CDTF">2023-05-17T08:12:13Z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DC5202B5D088472F8AD6CA85CF03A135_13</vt:lpwstr>
  </property>
</Properties>
</file>