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spacing w:line="240" w:lineRule="auto"/>
        <w:jc w:val="both"/>
        <w:textAlignment w:val="baseline"/>
        <w:rPr>
          <w:rFonts w:ascii="方正大标宋_GBK" w:hAnsi="方正大标宋_GBK" w:eastAsia="方正大标宋_GBK" w:cs="方正大标宋_GBK"/>
          <w:spacing w:val="0"/>
          <w:w w:val="100"/>
          <w:kern w:val="0"/>
          <w:sz w:val="44"/>
          <w:szCs w:val="44"/>
        </w:rPr>
      </w:pPr>
      <w:r>
        <w:rPr>
          <w:rFonts w:hint="eastAsia" w:ascii="方正大标宋_GBK" w:hAnsi="方正大标宋_GBK" w:eastAsia="方正大标宋_GBK" w:cs="方正大标宋_GBK"/>
          <w:spacing w:val="41"/>
          <w:w w:val="100"/>
          <w:kern w:val="0"/>
          <w:sz w:val="44"/>
          <w:szCs w:val="44"/>
          <w:fitText w:val="8800" w:id="184027635"/>
          <w:lang w:val="en-US" w:eastAsia="zh-CN"/>
        </w:rPr>
        <w:t>龙港</w:t>
      </w:r>
      <w:r>
        <w:rPr>
          <w:rFonts w:ascii="方正大标宋_GBK" w:hAnsi="方正大标宋_GBK" w:eastAsia="方正大标宋_GBK" w:cs="方正大标宋_GBK"/>
          <w:spacing w:val="41"/>
          <w:w w:val="100"/>
          <w:kern w:val="0"/>
          <w:sz w:val="44"/>
          <w:szCs w:val="44"/>
          <w:fitText w:val="8800" w:id="184027635"/>
        </w:rPr>
        <w:t>市贯彻落实稳经济措施的实施方</w:t>
      </w:r>
      <w:r>
        <w:rPr>
          <w:rFonts w:ascii="方正大标宋_GBK" w:hAnsi="方正大标宋_GBK" w:eastAsia="方正大标宋_GBK" w:cs="方正大标宋_GBK"/>
          <w:spacing w:val="4"/>
          <w:w w:val="100"/>
          <w:kern w:val="0"/>
          <w:sz w:val="44"/>
          <w:szCs w:val="44"/>
          <w:fitText w:val="8800" w:id="184027635"/>
        </w:rPr>
        <w:t>案</w:t>
      </w:r>
    </w:p>
    <w:p>
      <w:pPr>
        <w:keepNext w:val="0"/>
        <w:keepLines w:val="0"/>
        <w:pageBreakBefore w:val="0"/>
        <w:widowControl/>
        <w:kinsoku w:val="0"/>
        <w:wordWrap/>
        <w:overflowPunct/>
        <w:topLinePunct w:val="0"/>
        <w:autoSpaceDE w:val="0"/>
        <w:autoSpaceDN w:val="0"/>
        <w:bidi w:val="0"/>
        <w:adjustRightInd w:val="0"/>
        <w:snapToGrid/>
        <w:spacing w:line="240" w:lineRule="auto"/>
        <w:jc w:val="center"/>
        <w:textAlignment w:val="baseline"/>
        <w:rPr>
          <w:rFonts w:ascii="楷体" w:hAnsi="楷体" w:eastAsia="楷体" w:cs="楷体"/>
          <w:color w:val="FF0000"/>
          <w:spacing w:val="0"/>
          <w:w w:val="100"/>
          <w:sz w:val="32"/>
          <w:szCs w:val="32"/>
        </w:rPr>
      </w:pPr>
      <w:r>
        <w:rPr>
          <w:rFonts w:ascii="楷体" w:hAnsi="楷体" w:eastAsia="楷体" w:cs="楷体"/>
          <w:color w:val="FF0000"/>
          <w:spacing w:val="0"/>
          <w:w w:val="100"/>
          <w:sz w:val="32"/>
          <w:szCs w:val="32"/>
        </w:rPr>
        <w:t>（共八个方面</w:t>
      </w:r>
      <w:r>
        <w:rPr>
          <w:rFonts w:ascii="Times New Roman" w:hAnsi="Times New Roman" w:eastAsia="Times New Roman" w:cs="Times New Roman"/>
          <w:color w:val="FF0000"/>
          <w:spacing w:val="0"/>
          <w:w w:val="100"/>
          <w:sz w:val="32"/>
          <w:szCs w:val="32"/>
        </w:rPr>
        <w:t>40</w:t>
      </w:r>
      <w:r>
        <w:rPr>
          <w:rFonts w:ascii="楷体" w:hAnsi="楷体" w:eastAsia="楷体" w:cs="楷体"/>
          <w:color w:val="FF0000"/>
          <w:spacing w:val="0"/>
          <w:w w:val="100"/>
          <w:sz w:val="32"/>
          <w:szCs w:val="32"/>
        </w:rPr>
        <w:t>项政策措施）</w:t>
      </w:r>
    </w:p>
    <w:p>
      <w:pPr>
        <w:keepNext w:val="0"/>
        <w:keepLines w:val="0"/>
        <w:pageBreakBefore w:val="0"/>
        <w:widowControl/>
        <w:kinsoku w:val="0"/>
        <w:wordWrap/>
        <w:overflowPunct/>
        <w:topLinePunct w:val="0"/>
        <w:autoSpaceDE w:val="0"/>
        <w:autoSpaceDN w:val="0"/>
        <w:bidi w:val="0"/>
        <w:adjustRightInd w:val="0"/>
        <w:snapToGrid/>
        <w:spacing w:line="240" w:lineRule="auto"/>
        <w:ind w:right="15" w:firstLine="640" w:firstLineChars="200"/>
        <w:textAlignment w:val="baseline"/>
        <w:rPr>
          <w:rFonts w:ascii="仿宋" w:hAnsi="仿宋" w:eastAsia="仿宋" w:cs="仿宋"/>
          <w:snapToGrid/>
          <w:spacing w:val="0"/>
          <w:w w:val="100"/>
          <w:kern w:val="32"/>
          <w:position w:val="0"/>
          <w:sz w:val="32"/>
          <w:szCs w:val="32"/>
        </w:rPr>
      </w:pPr>
    </w:p>
    <w:p>
      <w:pPr>
        <w:keepNext w:val="0"/>
        <w:keepLines w:val="0"/>
        <w:pageBreakBefore w:val="0"/>
        <w:widowControl/>
        <w:kinsoku w:val="0"/>
        <w:wordWrap/>
        <w:overflowPunct/>
        <w:topLinePunct w:val="0"/>
        <w:autoSpaceDE w:val="0"/>
        <w:autoSpaceDN w:val="0"/>
        <w:bidi w:val="0"/>
        <w:adjustRightInd w:val="0"/>
        <w:snapToGrid/>
        <w:spacing w:line="240" w:lineRule="auto"/>
        <w:ind w:right="15" w:firstLine="640" w:firstLineChars="200"/>
        <w:textAlignment w:val="baseline"/>
        <w:rPr>
          <w:rFonts w:ascii="仿宋" w:hAnsi="仿宋" w:eastAsia="仿宋" w:cs="仿宋"/>
          <w:snapToGrid/>
          <w:spacing w:val="0"/>
          <w:w w:val="100"/>
          <w:kern w:val="32"/>
          <w:position w:val="0"/>
          <w:sz w:val="32"/>
          <w:szCs w:val="32"/>
        </w:rPr>
      </w:pPr>
      <w:r>
        <w:rPr>
          <w:rFonts w:ascii="仿宋" w:hAnsi="仿宋" w:eastAsia="仿宋" w:cs="仿宋"/>
          <w:snapToGrid/>
          <w:spacing w:val="0"/>
          <w:w w:val="100"/>
          <w:kern w:val="32"/>
          <w:position w:val="0"/>
          <w:sz w:val="32"/>
          <w:szCs w:val="32"/>
        </w:rPr>
        <w:t>为认真贯彻落实</w:t>
      </w:r>
      <w:r>
        <w:rPr>
          <w:rFonts w:hint="eastAsia" w:ascii="仿宋" w:hAnsi="仿宋" w:eastAsia="仿宋" w:cs="仿宋"/>
          <w:snapToGrid/>
          <w:spacing w:val="0"/>
          <w:w w:val="100"/>
          <w:kern w:val="32"/>
          <w:position w:val="0"/>
          <w:sz w:val="32"/>
          <w:szCs w:val="32"/>
          <w:lang w:val="en-US" w:eastAsia="zh-CN"/>
        </w:rPr>
        <w:t>上级</w:t>
      </w:r>
      <w:bookmarkStart w:id="0" w:name="_GoBack"/>
      <w:bookmarkEnd w:id="0"/>
      <w:r>
        <w:rPr>
          <w:rFonts w:ascii="仿宋" w:hAnsi="仿宋" w:eastAsia="仿宋" w:cs="仿宋"/>
          <w:snapToGrid/>
          <w:spacing w:val="0"/>
          <w:w w:val="100"/>
          <w:kern w:val="32"/>
          <w:position w:val="0"/>
          <w:sz w:val="32"/>
          <w:szCs w:val="32"/>
        </w:rPr>
        <w:t>稳经济措施</w:t>
      </w:r>
      <w:r>
        <w:rPr>
          <w:rFonts w:hint="eastAsia" w:ascii="仿宋" w:hAnsi="仿宋" w:eastAsia="仿宋" w:cs="仿宋"/>
          <w:snapToGrid/>
          <w:spacing w:val="0"/>
          <w:w w:val="100"/>
          <w:kern w:val="32"/>
          <w:position w:val="0"/>
          <w:sz w:val="32"/>
          <w:szCs w:val="32"/>
          <w:lang w:eastAsia="zh-CN"/>
        </w:rPr>
        <w:t>，</w:t>
      </w:r>
      <w:r>
        <w:rPr>
          <w:rFonts w:ascii="仿宋" w:hAnsi="仿宋" w:eastAsia="仿宋" w:cs="仿宋"/>
          <w:snapToGrid/>
          <w:spacing w:val="0"/>
          <w:w w:val="100"/>
          <w:kern w:val="32"/>
          <w:position w:val="0"/>
          <w:sz w:val="32"/>
          <w:szCs w:val="32"/>
        </w:rPr>
        <w:t>牢牢把握</w:t>
      </w:r>
      <w:r>
        <w:rPr>
          <w:rFonts w:ascii="Times New Roman" w:hAnsi="Times New Roman" w:eastAsia="Times New Roman" w:cs="Times New Roman"/>
          <w:snapToGrid/>
          <w:spacing w:val="0"/>
          <w:w w:val="100"/>
          <w:kern w:val="32"/>
          <w:position w:val="0"/>
          <w:sz w:val="32"/>
          <w:szCs w:val="32"/>
        </w:rPr>
        <w:t xml:space="preserve">“ </w:t>
      </w:r>
      <w:r>
        <w:rPr>
          <w:rFonts w:ascii="仿宋" w:hAnsi="仿宋" w:eastAsia="仿宋" w:cs="仿宋"/>
          <w:snapToGrid/>
          <w:spacing w:val="0"/>
          <w:w w:val="100"/>
          <w:kern w:val="32"/>
          <w:position w:val="0"/>
          <w:sz w:val="32"/>
          <w:szCs w:val="32"/>
        </w:rPr>
        <w:t>疫情要防住、经济要稳住、发展要安全</w:t>
      </w:r>
      <w:r>
        <w:rPr>
          <w:rFonts w:ascii="Times New Roman" w:hAnsi="Times New Roman" w:eastAsia="Times New Roman" w:cs="Times New Roman"/>
          <w:snapToGrid/>
          <w:spacing w:val="0"/>
          <w:w w:val="100"/>
          <w:kern w:val="32"/>
          <w:position w:val="0"/>
          <w:sz w:val="32"/>
          <w:szCs w:val="32"/>
        </w:rPr>
        <w:t>”</w:t>
      </w:r>
      <w:r>
        <w:rPr>
          <w:rFonts w:ascii="仿宋" w:hAnsi="仿宋" w:eastAsia="仿宋" w:cs="仿宋"/>
          <w:snapToGrid/>
          <w:spacing w:val="0"/>
          <w:w w:val="100"/>
          <w:kern w:val="32"/>
          <w:position w:val="0"/>
          <w:sz w:val="32"/>
          <w:szCs w:val="32"/>
        </w:rPr>
        <w:t>的核心要求，以超常规举措稳住经济大盘，按照</w:t>
      </w:r>
      <w:r>
        <w:rPr>
          <w:rFonts w:ascii="Times New Roman" w:hAnsi="Times New Roman" w:eastAsia="Times New Roman" w:cs="Times New Roman"/>
          <w:snapToGrid/>
          <w:spacing w:val="0"/>
          <w:w w:val="100"/>
          <w:kern w:val="32"/>
          <w:position w:val="0"/>
          <w:sz w:val="32"/>
          <w:szCs w:val="32"/>
        </w:rPr>
        <w:t>“</w:t>
      </w:r>
      <w:r>
        <w:rPr>
          <w:rFonts w:ascii="仿宋" w:hAnsi="仿宋" w:eastAsia="仿宋" w:cs="仿宋"/>
          <w:snapToGrid/>
          <w:spacing w:val="0"/>
          <w:w w:val="100"/>
          <w:kern w:val="32"/>
          <w:position w:val="0"/>
          <w:sz w:val="32"/>
          <w:szCs w:val="32"/>
        </w:rPr>
        <w:t>全面顶格</w:t>
      </w:r>
      <w:r>
        <w:rPr>
          <w:rFonts w:hint="eastAsia" w:ascii="仿宋" w:hAnsi="仿宋" w:eastAsia="仿宋" w:cs="仿宋"/>
          <w:snapToGrid/>
          <w:spacing w:val="0"/>
          <w:w w:val="100"/>
          <w:kern w:val="32"/>
          <w:position w:val="0"/>
          <w:sz w:val="32"/>
          <w:szCs w:val="32"/>
          <w:lang w:eastAsia="zh-CN"/>
        </w:rPr>
        <w:t>、</w:t>
      </w:r>
      <w:r>
        <w:rPr>
          <w:rFonts w:ascii="仿宋" w:hAnsi="仿宋" w:eastAsia="仿宋" w:cs="仿宋"/>
          <w:snapToGrid/>
          <w:spacing w:val="0"/>
          <w:w w:val="100"/>
          <w:kern w:val="32"/>
          <w:position w:val="0"/>
          <w:sz w:val="32"/>
          <w:szCs w:val="32"/>
        </w:rPr>
        <w:t>能出尽出、精准高效</w:t>
      </w:r>
      <w:r>
        <w:rPr>
          <w:rFonts w:ascii="Times New Roman" w:hAnsi="Times New Roman" w:eastAsia="Times New Roman" w:cs="Times New Roman"/>
          <w:snapToGrid/>
          <w:spacing w:val="0"/>
          <w:w w:val="100"/>
          <w:kern w:val="32"/>
          <w:position w:val="0"/>
          <w:sz w:val="32"/>
          <w:szCs w:val="32"/>
        </w:rPr>
        <w:t>”</w:t>
      </w:r>
      <w:r>
        <w:rPr>
          <w:rFonts w:ascii="仿宋" w:hAnsi="仿宋" w:eastAsia="仿宋" w:cs="仿宋"/>
          <w:snapToGrid/>
          <w:spacing w:val="0"/>
          <w:w w:val="100"/>
          <w:kern w:val="32"/>
          <w:position w:val="0"/>
          <w:sz w:val="32"/>
          <w:szCs w:val="32"/>
        </w:rPr>
        <w:t>的原则，结合</w:t>
      </w:r>
      <w:r>
        <w:rPr>
          <w:rFonts w:hint="eastAsia" w:ascii="仿宋" w:hAnsi="仿宋" w:eastAsia="仿宋" w:cs="仿宋"/>
          <w:snapToGrid/>
          <w:spacing w:val="0"/>
          <w:w w:val="100"/>
          <w:kern w:val="32"/>
          <w:position w:val="0"/>
          <w:sz w:val="32"/>
          <w:szCs w:val="32"/>
          <w:lang w:val="en-US" w:eastAsia="zh-CN"/>
        </w:rPr>
        <w:t>龙港</w:t>
      </w:r>
      <w:r>
        <w:rPr>
          <w:rFonts w:ascii="仿宋" w:hAnsi="仿宋" w:eastAsia="仿宋" w:cs="仿宋"/>
          <w:snapToGrid/>
          <w:spacing w:val="0"/>
          <w:w w:val="100"/>
          <w:kern w:val="32"/>
          <w:position w:val="0"/>
          <w:sz w:val="32"/>
          <w:szCs w:val="32"/>
        </w:rPr>
        <w:t>实际</w:t>
      </w:r>
      <w:r>
        <w:rPr>
          <w:rFonts w:hint="eastAsia" w:ascii="仿宋" w:hAnsi="仿宋" w:eastAsia="仿宋" w:cs="仿宋"/>
          <w:snapToGrid/>
          <w:spacing w:val="0"/>
          <w:w w:val="100"/>
          <w:kern w:val="32"/>
          <w:position w:val="0"/>
          <w:sz w:val="32"/>
          <w:szCs w:val="32"/>
          <w:lang w:eastAsia="zh-CN"/>
        </w:rPr>
        <w:t>，</w:t>
      </w:r>
      <w:r>
        <w:rPr>
          <w:rFonts w:ascii="仿宋" w:hAnsi="仿宋" w:eastAsia="仿宋" w:cs="仿宋"/>
          <w:snapToGrid/>
          <w:spacing w:val="0"/>
          <w:w w:val="100"/>
          <w:kern w:val="32"/>
          <w:position w:val="0"/>
          <w:sz w:val="32"/>
          <w:szCs w:val="32"/>
        </w:rPr>
        <w:t>制定本实施方案。</w:t>
      </w:r>
    </w:p>
    <w:p>
      <w:pPr>
        <w:keepNext w:val="0"/>
        <w:keepLines w:val="0"/>
        <w:pageBreakBefore w:val="0"/>
        <w:widowControl/>
        <w:kinsoku w:val="0"/>
        <w:wordWrap/>
        <w:overflowPunct/>
        <w:topLinePunct w:val="0"/>
        <w:autoSpaceDE w:val="0"/>
        <w:autoSpaceDN w:val="0"/>
        <w:bidi w:val="0"/>
        <w:adjustRightInd w:val="0"/>
        <w:snapToGrid/>
        <w:spacing w:line="240" w:lineRule="auto"/>
        <w:ind w:firstLine="649"/>
        <w:textAlignment w:val="baseline"/>
        <w:rPr>
          <w:rFonts w:ascii="黑体" w:hAnsi="黑体" w:eastAsia="黑体" w:cs="黑体"/>
          <w:snapToGrid/>
          <w:spacing w:val="0"/>
          <w:w w:val="100"/>
          <w:kern w:val="32"/>
          <w:position w:val="0"/>
          <w:sz w:val="32"/>
          <w:szCs w:val="32"/>
        </w:rPr>
      </w:pPr>
      <w:r>
        <w:rPr>
          <w:rFonts w:ascii="黑体" w:hAnsi="黑体" w:eastAsia="黑体" w:cs="黑体"/>
          <w:snapToGrid/>
          <w:spacing w:val="0"/>
          <w:w w:val="100"/>
          <w:kern w:val="32"/>
          <w:position w:val="0"/>
          <w:sz w:val="32"/>
          <w:szCs w:val="32"/>
        </w:rPr>
        <w:t>一、财政支持措施（</w:t>
      </w:r>
      <w:r>
        <w:rPr>
          <w:rFonts w:ascii="Times New Roman" w:hAnsi="Times New Roman" w:eastAsia="Times New Roman" w:cs="Times New Roman"/>
          <w:snapToGrid/>
          <w:spacing w:val="0"/>
          <w:w w:val="100"/>
          <w:kern w:val="32"/>
          <w:position w:val="0"/>
          <w:sz w:val="32"/>
          <w:szCs w:val="32"/>
        </w:rPr>
        <w:t>7</w:t>
      </w:r>
      <w:r>
        <w:rPr>
          <w:rFonts w:ascii="黑体" w:hAnsi="黑体" w:eastAsia="黑体" w:cs="黑体"/>
          <w:snapToGrid/>
          <w:spacing w:val="0"/>
          <w:w w:val="100"/>
          <w:kern w:val="32"/>
          <w:position w:val="0"/>
          <w:sz w:val="32"/>
          <w:szCs w:val="32"/>
        </w:rPr>
        <w:t>项）</w:t>
      </w:r>
    </w:p>
    <w:p>
      <w:pPr>
        <w:keepNext w:val="0"/>
        <w:keepLines w:val="0"/>
        <w:pageBreakBefore w:val="0"/>
        <w:widowControl/>
        <w:kinsoku w:val="0"/>
        <w:wordWrap/>
        <w:overflowPunct/>
        <w:topLinePunct w:val="0"/>
        <w:autoSpaceDE w:val="0"/>
        <w:autoSpaceDN w:val="0"/>
        <w:bidi w:val="0"/>
        <w:adjustRightInd w:val="0"/>
        <w:snapToGrid/>
        <w:spacing w:line="240" w:lineRule="auto"/>
        <w:ind w:firstLine="649"/>
        <w:textAlignment w:val="baseline"/>
        <w:rPr>
          <w:rFonts w:hint="eastAsia" w:ascii="仿宋" w:hAnsi="仿宋" w:eastAsia="仿宋" w:cs="仿宋"/>
          <w:snapToGrid/>
          <w:spacing w:val="0"/>
          <w:w w:val="100"/>
          <w:kern w:val="32"/>
          <w:position w:val="0"/>
          <w:sz w:val="32"/>
          <w:szCs w:val="32"/>
          <w:lang w:eastAsia="zh-CN"/>
        </w:rPr>
      </w:pPr>
      <w:r>
        <w:rPr>
          <w:rFonts w:ascii="Times New Roman" w:hAnsi="Times New Roman" w:eastAsia="Times New Roman" w:cs="Times New Roman"/>
          <w:snapToGrid/>
          <w:spacing w:val="0"/>
          <w:w w:val="100"/>
          <w:kern w:val="32"/>
          <w:position w:val="0"/>
          <w:sz w:val="32"/>
          <w:szCs w:val="32"/>
        </w:rPr>
        <w:t>1.</w:t>
      </w:r>
      <w:r>
        <w:rPr>
          <w:rFonts w:ascii="楷体" w:hAnsi="楷体" w:eastAsia="楷体" w:cs="楷体"/>
          <w:snapToGrid/>
          <w:spacing w:val="0"/>
          <w:w w:val="100"/>
          <w:kern w:val="32"/>
          <w:position w:val="0"/>
          <w:sz w:val="32"/>
          <w:szCs w:val="32"/>
        </w:rPr>
        <w:t>加大增值税留抵退税力度。</w:t>
      </w:r>
      <w:r>
        <w:rPr>
          <w:rFonts w:ascii="仿宋" w:hAnsi="仿宋" w:eastAsia="仿宋" w:cs="仿宋"/>
          <w:snapToGrid/>
          <w:spacing w:val="0"/>
          <w:w w:val="100"/>
          <w:kern w:val="32"/>
          <w:position w:val="0"/>
          <w:sz w:val="32"/>
          <w:szCs w:val="32"/>
        </w:rPr>
        <w:t>加快退税进度，确保现有可退增量及存量留抵税额退税</w:t>
      </w:r>
      <w:r>
        <w:rPr>
          <w:rFonts w:ascii="Times New Roman" w:hAnsi="Times New Roman" w:eastAsia="Times New Roman" w:cs="Times New Roman"/>
          <w:snapToGrid/>
          <w:spacing w:val="0"/>
          <w:w w:val="100"/>
          <w:kern w:val="32"/>
          <w:position w:val="0"/>
          <w:sz w:val="32"/>
          <w:szCs w:val="32"/>
        </w:rPr>
        <w:t>6</w:t>
      </w:r>
      <w:r>
        <w:rPr>
          <w:rFonts w:ascii="仿宋" w:hAnsi="仿宋" w:eastAsia="仿宋" w:cs="仿宋"/>
          <w:snapToGrid/>
          <w:spacing w:val="0"/>
          <w:w w:val="100"/>
          <w:kern w:val="32"/>
          <w:position w:val="0"/>
          <w:sz w:val="32"/>
          <w:szCs w:val="32"/>
        </w:rPr>
        <w:t>月底前基本完成。落实新扩围的批发和零售业，农林牧渔业，住宿和餐饮业，居民服务、修理和其他服务业，教育，卫生和社会工作，文化、体育和娱乐业等</w:t>
      </w:r>
      <w:r>
        <w:rPr>
          <w:rFonts w:ascii="Times New Roman" w:hAnsi="Times New Roman" w:eastAsia="Times New Roman" w:cs="Times New Roman"/>
          <w:snapToGrid/>
          <w:spacing w:val="0"/>
          <w:w w:val="100"/>
          <w:kern w:val="32"/>
          <w:position w:val="0"/>
          <w:sz w:val="32"/>
          <w:szCs w:val="32"/>
        </w:rPr>
        <w:t>7</w:t>
      </w:r>
      <w:r>
        <w:rPr>
          <w:rFonts w:ascii="仿宋" w:hAnsi="仿宋" w:eastAsia="仿宋" w:cs="仿宋"/>
          <w:snapToGrid/>
          <w:spacing w:val="0"/>
          <w:w w:val="100"/>
          <w:kern w:val="32"/>
          <w:position w:val="0"/>
          <w:sz w:val="32"/>
          <w:szCs w:val="32"/>
        </w:rPr>
        <w:t>个行业留抵退税政策，加强退税资金调度和保障，实现应退尽退。</w:t>
      </w:r>
      <w:r>
        <w:rPr>
          <w:rFonts w:hint="eastAsia" w:ascii="仿宋" w:hAnsi="仿宋" w:eastAsia="仿宋" w:cs="仿宋"/>
          <w:snapToGrid/>
          <w:spacing w:val="0"/>
          <w:w w:val="100"/>
          <w:kern w:val="32"/>
          <w:position w:val="0"/>
          <w:sz w:val="32"/>
          <w:szCs w:val="32"/>
          <w:lang w:eastAsia="zh-CN"/>
        </w:rPr>
        <w:t>（</w:t>
      </w:r>
      <w:r>
        <w:rPr>
          <w:rFonts w:hint="eastAsia" w:ascii="仿宋" w:hAnsi="仿宋" w:eastAsia="仿宋" w:cs="仿宋"/>
          <w:snapToGrid/>
          <w:spacing w:val="0"/>
          <w:w w:val="100"/>
          <w:kern w:val="32"/>
          <w:position w:val="0"/>
          <w:sz w:val="32"/>
          <w:szCs w:val="32"/>
          <w:lang w:val="en-US" w:eastAsia="zh-CN"/>
        </w:rPr>
        <w:t>责任单位：</w:t>
      </w:r>
      <w:r>
        <w:rPr>
          <w:rFonts w:hint="eastAsia" w:ascii="仿宋" w:hAnsi="仿宋" w:eastAsia="仿宋" w:cs="仿宋"/>
          <w:snapToGrid/>
          <w:color w:val="FF0000"/>
          <w:spacing w:val="0"/>
          <w:w w:val="100"/>
          <w:kern w:val="32"/>
          <w:position w:val="0"/>
          <w:sz w:val="32"/>
          <w:szCs w:val="32"/>
          <w:lang w:val="en-US" w:eastAsia="zh-CN"/>
        </w:rPr>
        <w:t>市税务局</w:t>
      </w:r>
      <w:r>
        <w:rPr>
          <w:rFonts w:hint="eastAsia" w:ascii="仿宋" w:hAnsi="仿宋" w:eastAsia="仿宋" w:cs="仿宋"/>
          <w:snapToGrid/>
          <w:spacing w:val="0"/>
          <w:w w:val="100"/>
          <w:kern w:val="32"/>
          <w:position w:val="0"/>
          <w:sz w:val="32"/>
          <w:szCs w:val="32"/>
          <w:lang w:val="en-US" w:eastAsia="zh-CN"/>
        </w:rPr>
        <w:t>、市财政局，列第一位的为牵头单位，下同</w:t>
      </w:r>
      <w:r>
        <w:rPr>
          <w:rFonts w:hint="eastAsia" w:ascii="仿宋" w:hAnsi="仿宋" w:eastAsia="仿宋" w:cs="仿宋"/>
          <w:snapToGrid/>
          <w:spacing w:val="0"/>
          <w:w w:val="100"/>
          <w:kern w:val="32"/>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spacing w:line="240" w:lineRule="auto"/>
        <w:ind w:firstLine="649"/>
        <w:textAlignment w:val="baseline"/>
        <w:rPr>
          <w:rFonts w:hint="eastAsia" w:ascii="仿宋" w:hAnsi="仿宋" w:eastAsia="仿宋" w:cs="仿宋"/>
          <w:snapToGrid/>
          <w:spacing w:val="0"/>
          <w:w w:val="100"/>
          <w:kern w:val="32"/>
          <w:position w:val="0"/>
          <w:sz w:val="32"/>
          <w:szCs w:val="32"/>
          <w:lang w:eastAsia="zh-CN"/>
        </w:rPr>
      </w:pPr>
      <w:r>
        <w:rPr>
          <w:rFonts w:ascii="Times New Roman" w:hAnsi="Times New Roman" w:eastAsia="Times New Roman" w:cs="Times New Roman"/>
          <w:snapToGrid/>
          <w:spacing w:val="0"/>
          <w:w w:val="100"/>
          <w:kern w:val="32"/>
          <w:position w:val="0"/>
          <w:sz w:val="32"/>
          <w:szCs w:val="32"/>
        </w:rPr>
        <w:t>2.</w:t>
      </w:r>
      <w:r>
        <w:rPr>
          <w:rFonts w:ascii="楷体" w:hAnsi="楷体" w:eastAsia="楷体" w:cs="楷体"/>
          <w:snapToGrid/>
          <w:spacing w:val="0"/>
          <w:w w:val="100"/>
          <w:kern w:val="32"/>
          <w:position w:val="0"/>
          <w:sz w:val="32"/>
          <w:szCs w:val="32"/>
        </w:rPr>
        <w:t>加快财政支出进度。</w:t>
      </w:r>
      <w:r>
        <w:rPr>
          <w:rFonts w:ascii="仿宋" w:hAnsi="仿宋" w:eastAsia="仿宋" w:cs="仿宋"/>
          <w:snapToGrid/>
          <w:spacing w:val="0"/>
          <w:w w:val="100"/>
          <w:kern w:val="32"/>
          <w:position w:val="0"/>
          <w:sz w:val="32"/>
          <w:szCs w:val="32"/>
        </w:rPr>
        <w:t>用好温州市惠企政策</w:t>
      </w:r>
      <w:r>
        <w:rPr>
          <w:rFonts w:ascii="Times New Roman" w:hAnsi="Times New Roman" w:eastAsia="Times New Roman" w:cs="Times New Roman"/>
          <w:snapToGrid/>
          <w:spacing w:val="0"/>
          <w:w w:val="100"/>
          <w:kern w:val="32"/>
          <w:position w:val="0"/>
          <w:sz w:val="32"/>
          <w:szCs w:val="32"/>
        </w:rPr>
        <w:t>“</w:t>
      </w:r>
      <w:r>
        <w:rPr>
          <w:rFonts w:ascii="仿宋" w:hAnsi="仿宋" w:eastAsia="仿宋" w:cs="仿宋"/>
          <w:snapToGrid/>
          <w:spacing w:val="0"/>
          <w:w w:val="100"/>
          <w:kern w:val="32"/>
          <w:position w:val="0"/>
          <w:sz w:val="32"/>
          <w:szCs w:val="32"/>
        </w:rPr>
        <w:t>直通车</w:t>
      </w:r>
      <w:r>
        <w:rPr>
          <w:rFonts w:ascii="Times New Roman" w:hAnsi="Times New Roman" w:eastAsia="Times New Roman" w:cs="Times New Roman"/>
          <w:snapToGrid/>
          <w:spacing w:val="0"/>
          <w:w w:val="100"/>
          <w:kern w:val="32"/>
          <w:position w:val="0"/>
          <w:sz w:val="32"/>
          <w:szCs w:val="32"/>
        </w:rPr>
        <w:t xml:space="preserve">” </w:t>
      </w:r>
      <w:r>
        <w:rPr>
          <w:rFonts w:ascii="仿宋" w:hAnsi="仿宋" w:eastAsia="仿宋" w:cs="仿宋"/>
          <w:snapToGrid/>
          <w:spacing w:val="0"/>
          <w:w w:val="100"/>
          <w:kern w:val="32"/>
          <w:position w:val="0"/>
          <w:sz w:val="32"/>
          <w:szCs w:val="32"/>
        </w:rPr>
        <w:t>等平台，加快涉企资金兑付进度，建立监督机制，确保半年度应兑现政策兑现</w:t>
      </w:r>
      <w:r>
        <w:rPr>
          <w:rFonts w:ascii="Times New Roman" w:hAnsi="Times New Roman" w:eastAsia="Times New Roman" w:cs="Times New Roman"/>
          <w:snapToGrid/>
          <w:spacing w:val="0"/>
          <w:w w:val="100"/>
          <w:kern w:val="32"/>
          <w:position w:val="0"/>
          <w:sz w:val="32"/>
          <w:szCs w:val="32"/>
        </w:rPr>
        <w:t>60%</w:t>
      </w:r>
      <w:r>
        <w:rPr>
          <w:rFonts w:ascii="仿宋" w:hAnsi="仿宋" w:eastAsia="仿宋" w:cs="仿宋"/>
          <w:snapToGrid/>
          <w:spacing w:val="0"/>
          <w:w w:val="100"/>
          <w:kern w:val="32"/>
          <w:position w:val="0"/>
          <w:sz w:val="32"/>
          <w:szCs w:val="32"/>
        </w:rPr>
        <w:t>以上，全年兑现</w:t>
      </w:r>
      <w:r>
        <w:rPr>
          <w:rFonts w:ascii="Times New Roman" w:hAnsi="Times New Roman" w:eastAsia="Times New Roman" w:cs="Times New Roman"/>
          <w:snapToGrid/>
          <w:spacing w:val="0"/>
          <w:w w:val="100"/>
          <w:kern w:val="32"/>
          <w:position w:val="0"/>
          <w:sz w:val="32"/>
          <w:szCs w:val="32"/>
        </w:rPr>
        <w:t>100%</w:t>
      </w:r>
      <w:r>
        <w:rPr>
          <w:rFonts w:ascii="仿宋" w:hAnsi="仿宋" w:eastAsia="仿宋" w:cs="仿宋"/>
          <w:snapToGrid/>
          <w:spacing w:val="0"/>
          <w:w w:val="100"/>
          <w:kern w:val="32"/>
          <w:position w:val="0"/>
          <w:sz w:val="32"/>
          <w:szCs w:val="32"/>
        </w:rPr>
        <w:t>。严格落实党政机关过</w:t>
      </w:r>
      <w:r>
        <w:rPr>
          <w:rFonts w:ascii="Times New Roman" w:hAnsi="Times New Roman" w:eastAsia="Times New Roman" w:cs="Times New Roman"/>
          <w:snapToGrid/>
          <w:spacing w:val="0"/>
          <w:w w:val="100"/>
          <w:kern w:val="32"/>
          <w:position w:val="0"/>
          <w:sz w:val="32"/>
          <w:szCs w:val="32"/>
        </w:rPr>
        <w:t>“</w:t>
      </w:r>
      <w:r>
        <w:rPr>
          <w:rFonts w:ascii="仿宋" w:hAnsi="仿宋" w:eastAsia="仿宋" w:cs="仿宋"/>
          <w:snapToGrid/>
          <w:spacing w:val="0"/>
          <w:w w:val="100"/>
          <w:kern w:val="32"/>
          <w:position w:val="0"/>
          <w:sz w:val="32"/>
          <w:szCs w:val="32"/>
        </w:rPr>
        <w:t>紧日子</w:t>
      </w:r>
      <w:r>
        <w:rPr>
          <w:rFonts w:ascii="Times New Roman" w:hAnsi="Times New Roman" w:eastAsia="Times New Roman" w:cs="Times New Roman"/>
          <w:snapToGrid/>
          <w:spacing w:val="0"/>
          <w:w w:val="100"/>
          <w:kern w:val="32"/>
          <w:position w:val="0"/>
          <w:sz w:val="32"/>
          <w:szCs w:val="32"/>
        </w:rPr>
        <w:t xml:space="preserve">” </w:t>
      </w:r>
      <w:r>
        <w:rPr>
          <w:rFonts w:ascii="仿宋" w:hAnsi="仿宋" w:eastAsia="仿宋" w:cs="仿宋"/>
          <w:snapToGrid/>
          <w:spacing w:val="0"/>
          <w:w w:val="100"/>
          <w:kern w:val="32"/>
          <w:position w:val="0"/>
          <w:sz w:val="32"/>
          <w:szCs w:val="32"/>
        </w:rPr>
        <w:t>的要求，实行负面清单管理，将节约的资金用于</w:t>
      </w:r>
      <w:r>
        <w:rPr>
          <w:rFonts w:ascii="Times New Roman" w:hAnsi="Times New Roman" w:eastAsia="Times New Roman" w:cs="Times New Roman"/>
          <w:snapToGrid/>
          <w:spacing w:val="0"/>
          <w:w w:val="100"/>
          <w:kern w:val="32"/>
          <w:position w:val="0"/>
          <w:sz w:val="32"/>
          <w:szCs w:val="32"/>
        </w:rPr>
        <w:t>“</w:t>
      </w:r>
      <w:r>
        <w:rPr>
          <w:rFonts w:ascii="仿宋" w:hAnsi="仿宋" w:eastAsia="仿宋" w:cs="仿宋"/>
          <w:snapToGrid/>
          <w:spacing w:val="0"/>
          <w:w w:val="100"/>
          <w:kern w:val="32"/>
          <w:position w:val="0"/>
          <w:sz w:val="32"/>
          <w:szCs w:val="32"/>
        </w:rPr>
        <w:t>三保</w:t>
      </w:r>
      <w:r>
        <w:rPr>
          <w:rFonts w:ascii="Times New Roman" w:hAnsi="Times New Roman" w:eastAsia="Times New Roman" w:cs="Times New Roman"/>
          <w:snapToGrid/>
          <w:spacing w:val="0"/>
          <w:w w:val="100"/>
          <w:kern w:val="32"/>
          <w:position w:val="0"/>
          <w:sz w:val="32"/>
          <w:szCs w:val="32"/>
        </w:rPr>
        <w:t xml:space="preserve">” </w:t>
      </w:r>
      <w:r>
        <w:rPr>
          <w:rFonts w:ascii="仿宋" w:hAnsi="仿宋" w:eastAsia="仿宋" w:cs="仿宋"/>
          <w:snapToGrid/>
          <w:spacing w:val="0"/>
          <w:w w:val="100"/>
          <w:kern w:val="32"/>
          <w:position w:val="0"/>
          <w:sz w:val="32"/>
          <w:szCs w:val="32"/>
        </w:rPr>
        <w:t>等重点领域。建立健全结转结余资金定期清理收回机制，对年度执行中确实不需使用的资金，按规定调整用于经济社会发展以及疫情防控等亟需资金支持</w:t>
      </w:r>
      <w:r>
        <w:rPr>
          <w:rFonts w:hint="eastAsia" w:ascii="仿宋" w:hAnsi="仿宋" w:eastAsia="仿宋" w:cs="仿宋"/>
          <w:snapToGrid/>
          <w:spacing w:val="0"/>
          <w:w w:val="100"/>
          <w:kern w:val="32"/>
          <w:position w:val="0"/>
          <w:sz w:val="32"/>
          <w:szCs w:val="32"/>
          <w:lang w:val="en-US" w:eastAsia="zh-CN"/>
        </w:rPr>
        <w:t>的</w:t>
      </w:r>
      <w:r>
        <w:rPr>
          <w:rFonts w:ascii="仿宋" w:hAnsi="仿宋" w:eastAsia="仿宋" w:cs="仿宋"/>
          <w:snapToGrid/>
          <w:spacing w:val="0"/>
          <w:w w:val="100"/>
          <w:kern w:val="32"/>
          <w:position w:val="0"/>
          <w:sz w:val="32"/>
          <w:szCs w:val="32"/>
        </w:rPr>
        <w:t>领域。继续将留抵退税专项资金纳入财政直达资金范围，单独调拨、提前预拨、滚动清算</w:t>
      </w:r>
      <w:r>
        <w:rPr>
          <w:rFonts w:hint="eastAsia" w:ascii="仿宋" w:hAnsi="仿宋" w:eastAsia="仿宋" w:cs="仿宋"/>
          <w:snapToGrid/>
          <w:spacing w:val="0"/>
          <w:w w:val="100"/>
          <w:kern w:val="32"/>
          <w:position w:val="0"/>
          <w:sz w:val="32"/>
          <w:szCs w:val="32"/>
          <w:lang w:eastAsia="zh-CN"/>
        </w:rPr>
        <w:t>，</w:t>
      </w:r>
      <w:r>
        <w:rPr>
          <w:rFonts w:ascii="仿宋" w:hAnsi="仿宋" w:eastAsia="仿宋" w:cs="仿宋"/>
          <w:snapToGrid/>
          <w:spacing w:val="0"/>
          <w:w w:val="100"/>
          <w:kern w:val="32"/>
          <w:position w:val="0"/>
          <w:sz w:val="32"/>
          <w:szCs w:val="32"/>
        </w:rPr>
        <w:t>及时足额保障退税资金，完善库款监测机制，切实防范支付风险。</w:t>
      </w:r>
      <w:r>
        <w:rPr>
          <w:rFonts w:hint="eastAsia" w:ascii="仿宋" w:hAnsi="仿宋" w:eastAsia="仿宋" w:cs="仿宋"/>
          <w:snapToGrid/>
          <w:spacing w:val="0"/>
          <w:w w:val="100"/>
          <w:kern w:val="32"/>
          <w:position w:val="0"/>
          <w:sz w:val="32"/>
          <w:szCs w:val="32"/>
          <w:lang w:eastAsia="zh-CN"/>
        </w:rPr>
        <w:t>（</w:t>
      </w:r>
      <w:r>
        <w:rPr>
          <w:rFonts w:hint="eastAsia" w:ascii="仿宋" w:hAnsi="仿宋" w:eastAsia="仿宋" w:cs="仿宋"/>
          <w:snapToGrid/>
          <w:spacing w:val="0"/>
          <w:w w:val="100"/>
          <w:kern w:val="32"/>
          <w:position w:val="0"/>
          <w:sz w:val="32"/>
          <w:szCs w:val="32"/>
          <w:lang w:val="en-US" w:eastAsia="zh-CN"/>
        </w:rPr>
        <w:t>责任单位：</w:t>
      </w:r>
      <w:r>
        <w:rPr>
          <w:rFonts w:hint="eastAsia" w:ascii="仿宋" w:hAnsi="仿宋" w:eastAsia="仿宋" w:cs="仿宋"/>
          <w:snapToGrid/>
          <w:color w:val="FF0000"/>
          <w:spacing w:val="0"/>
          <w:w w:val="100"/>
          <w:kern w:val="32"/>
          <w:position w:val="0"/>
          <w:sz w:val="32"/>
          <w:szCs w:val="32"/>
          <w:lang w:val="en-US" w:eastAsia="zh-CN"/>
        </w:rPr>
        <w:t>市财政局</w:t>
      </w:r>
      <w:r>
        <w:rPr>
          <w:rFonts w:hint="eastAsia" w:ascii="仿宋" w:hAnsi="仿宋" w:eastAsia="仿宋" w:cs="仿宋"/>
          <w:snapToGrid/>
          <w:spacing w:val="0"/>
          <w:w w:val="100"/>
          <w:kern w:val="32"/>
          <w:position w:val="0"/>
          <w:sz w:val="32"/>
          <w:szCs w:val="32"/>
          <w:lang w:val="en-US" w:eastAsia="zh-CN"/>
        </w:rPr>
        <w:t>、市经发局、市税务局</w:t>
      </w:r>
      <w:r>
        <w:rPr>
          <w:rFonts w:hint="eastAsia" w:ascii="仿宋" w:hAnsi="仿宋" w:eastAsia="仿宋" w:cs="仿宋"/>
          <w:snapToGrid/>
          <w:spacing w:val="0"/>
          <w:w w:val="100"/>
          <w:kern w:val="32"/>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spacing w:line="240" w:lineRule="auto"/>
        <w:ind w:firstLine="649"/>
        <w:textAlignment w:val="baseline"/>
        <w:rPr>
          <w:rFonts w:hint="eastAsia" w:ascii="仿宋" w:hAnsi="仿宋" w:eastAsia="仿宋" w:cs="仿宋"/>
          <w:snapToGrid/>
          <w:spacing w:val="0"/>
          <w:w w:val="100"/>
          <w:kern w:val="32"/>
          <w:position w:val="0"/>
          <w:sz w:val="32"/>
          <w:szCs w:val="32"/>
          <w:lang w:eastAsia="zh-CN"/>
        </w:rPr>
      </w:pPr>
      <w:r>
        <w:rPr>
          <w:rFonts w:ascii="Times New Roman" w:hAnsi="Times New Roman" w:eastAsia="Times New Roman" w:cs="Times New Roman"/>
          <w:snapToGrid/>
          <w:spacing w:val="0"/>
          <w:w w:val="100"/>
          <w:kern w:val="32"/>
          <w:position w:val="0"/>
          <w:sz w:val="32"/>
          <w:szCs w:val="32"/>
        </w:rPr>
        <w:t>3.</w:t>
      </w:r>
      <w:r>
        <w:rPr>
          <w:rFonts w:ascii="楷体" w:hAnsi="楷体" w:eastAsia="楷体" w:cs="楷体"/>
          <w:snapToGrid/>
          <w:spacing w:val="0"/>
          <w:w w:val="100"/>
          <w:kern w:val="32"/>
          <w:position w:val="0"/>
          <w:sz w:val="32"/>
          <w:szCs w:val="32"/>
        </w:rPr>
        <w:t>加快地方政府专项债券项目储备和资金使用。</w:t>
      </w:r>
      <w:r>
        <w:rPr>
          <w:rFonts w:ascii="仿宋" w:hAnsi="仿宋" w:eastAsia="仿宋" w:cs="仿宋"/>
          <w:snapToGrid/>
          <w:spacing w:val="0"/>
          <w:w w:val="100"/>
          <w:kern w:val="32"/>
          <w:position w:val="0"/>
          <w:sz w:val="32"/>
          <w:szCs w:val="32"/>
        </w:rPr>
        <w:t>加大常态化项目储备力度，重点向新增领域的新型基础设施、仓储物流设施、公共租赁住房、综合交通枢纽等项目储备倾斜，争取更大额度的专项债券支持。开辟项目审批</w:t>
      </w:r>
      <w:r>
        <w:rPr>
          <w:rFonts w:ascii="Times New Roman" w:hAnsi="Times New Roman" w:eastAsia="Times New Roman" w:cs="Times New Roman"/>
          <w:snapToGrid/>
          <w:spacing w:val="0"/>
          <w:w w:val="100"/>
          <w:kern w:val="32"/>
          <w:position w:val="0"/>
          <w:sz w:val="32"/>
          <w:szCs w:val="32"/>
        </w:rPr>
        <w:t xml:space="preserve">“ </w:t>
      </w:r>
      <w:r>
        <w:rPr>
          <w:rFonts w:ascii="仿宋" w:hAnsi="仿宋" w:eastAsia="仿宋" w:cs="仿宋"/>
          <w:snapToGrid/>
          <w:spacing w:val="0"/>
          <w:w w:val="100"/>
          <w:kern w:val="32"/>
          <w:position w:val="0"/>
          <w:sz w:val="32"/>
          <w:szCs w:val="32"/>
        </w:rPr>
        <w:t>绿色</w:t>
      </w:r>
      <w:r>
        <w:rPr>
          <w:rFonts w:ascii="Times New Roman" w:hAnsi="Times New Roman" w:eastAsia="Times New Roman" w:cs="Times New Roman"/>
          <w:snapToGrid/>
          <w:spacing w:val="0"/>
          <w:w w:val="100"/>
          <w:kern w:val="32"/>
          <w:position w:val="0"/>
          <w:sz w:val="32"/>
          <w:szCs w:val="32"/>
        </w:rPr>
        <w:t>”</w:t>
      </w:r>
      <w:r>
        <w:rPr>
          <w:rFonts w:ascii="仿宋" w:hAnsi="仿宋" w:eastAsia="仿宋" w:cs="仿宋"/>
          <w:snapToGrid/>
          <w:spacing w:val="0"/>
          <w:w w:val="100"/>
          <w:kern w:val="32"/>
          <w:position w:val="0"/>
          <w:sz w:val="32"/>
          <w:szCs w:val="32"/>
        </w:rPr>
        <w:t>通道，做好项目审批等服务保障和前期准备工作</w:t>
      </w:r>
      <w:r>
        <w:rPr>
          <w:rFonts w:hint="eastAsia" w:ascii="仿宋" w:hAnsi="仿宋" w:eastAsia="仿宋" w:cs="仿宋"/>
          <w:snapToGrid/>
          <w:spacing w:val="0"/>
          <w:w w:val="100"/>
          <w:kern w:val="32"/>
          <w:position w:val="0"/>
          <w:sz w:val="32"/>
          <w:szCs w:val="32"/>
          <w:lang w:eastAsia="zh-CN"/>
        </w:rPr>
        <w:t>。</w:t>
      </w:r>
      <w:r>
        <w:rPr>
          <w:rFonts w:ascii="仿宋" w:hAnsi="仿宋" w:eastAsia="仿宋" w:cs="仿宋"/>
          <w:snapToGrid/>
          <w:spacing w:val="0"/>
          <w:w w:val="100"/>
          <w:kern w:val="32"/>
          <w:position w:val="0"/>
          <w:sz w:val="32"/>
          <w:szCs w:val="32"/>
        </w:rPr>
        <w:t>加强协调和督促检查，加快项目建设和债券资金支出进度。</w:t>
      </w:r>
      <w:r>
        <w:rPr>
          <w:rFonts w:hint="eastAsia" w:ascii="仿宋" w:hAnsi="仿宋" w:eastAsia="仿宋" w:cs="仿宋"/>
          <w:snapToGrid/>
          <w:spacing w:val="0"/>
          <w:w w:val="100"/>
          <w:kern w:val="32"/>
          <w:position w:val="0"/>
          <w:sz w:val="32"/>
          <w:szCs w:val="32"/>
          <w:lang w:eastAsia="zh-CN"/>
        </w:rPr>
        <w:t>（</w:t>
      </w:r>
      <w:r>
        <w:rPr>
          <w:rFonts w:hint="eastAsia" w:ascii="仿宋" w:hAnsi="仿宋" w:eastAsia="仿宋" w:cs="仿宋"/>
          <w:snapToGrid/>
          <w:spacing w:val="0"/>
          <w:w w:val="100"/>
          <w:kern w:val="32"/>
          <w:position w:val="0"/>
          <w:sz w:val="32"/>
          <w:szCs w:val="32"/>
          <w:lang w:val="en-US" w:eastAsia="zh-CN"/>
        </w:rPr>
        <w:t>责任单位：</w:t>
      </w:r>
      <w:r>
        <w:rPr>
          <w:rFonts w:hint="eastAsia" w:ascii="仿宋" w:hAnsi="仿宋" w:eastAsia="仿宋" w:cs="仿宋"/>
          <w:snapToGrid/>
          <w:color w:val="FF0000"/>
          <w:spacing w:val="0"/>
          <w:w w:val="100"/>
          <w:kern w:val="32"/>
          <w:position w:val="0"/>
          <w:sz w:val="32"/>
          <w:szCs w:val="32"/>
          <w:lang w:val="en-US" w:eastAsia="zh-CN"/>
        </w:rPr>
        <w:t>市财政局</w:t>
      </w:r>
      <w:r>
        <w:rPr>
          <w:rFonts w:hint="eastAsia" w:ascii="仿宋" w:hAnsi="仿宋" w:eastAsia="仿宋" w:cs="仿宋"/>
          <w:snapToGrid/>
          <w:spacing w:val="0"/>
          <w:w w:val="100"/>
          <w:kern w:val="32"/>
          <w:position w:val="0"/>
          <w:sz w:val="32"/>
          <w:szCs w:val="32"/>
          <w:lang w:val="en-US" w:eastAsia="zh-CN"/>
        </w:rPr>
        <w:t>、市经发局-发改口、市政务服务中心</w:t>
      </w:r>
      <w:r>
        <w:rPr>
          <w:rFonts w:hint="eastAsia" w:ascii="仿宋" w:hAnsi="仿宋" w:eastAsia="仿宋" w:cs="仿宋"/>
          <w:snapToGrid/>
          <w:spacing w:val="0"/>
          <w:w w:val="100"/>
          <w:kern w:val="32"/>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spacing w:line="240" w:lineRule="auto"/>
        <w:ind w:firstLine="649"/>
        <w:textAlignment w:val="baseline"/>
        <w:rPr>
          <w:rFonts w:hint="eastAsia" w:ascii="仿宋" w:hAnsi="仿宋" w:eastAsia="仿宋" w:cs="仿宋"/>
          <w:snapToGrid/>
          <w:spacing w:val="0"/>
          <w:w w:val="100"/>
          <w:kern w:val="32"/>
          <w:position w:val="0"/>
          <w:sz w:val="32"/>
          <w:szCs w:val="32"/>
          <w:lang w:eastAsia="zh-CN"/>
        </w:rPr>
      </w:pPr>
      <w:r>
        <w:rPr>
          <w:rFonts w:ascii="Times New Roman" w:hAnsi="Times New Roman" w:eastAsia="Times New Roman" w:cs="Times New Roman"/>
          <w:snapToGrid/>
          <w:spacing w:val="0"/>
          <w:w w:val="100"/>
          <w:kern w:val="32"/>
          <w:position w:val="0"/>
          <w:sz w:val="32"/>
          <w:szCs w:val="32"/>
        </w:rPr>
        <w:t>4.</w:t>
      </w:r>
      <w:r>
        <w:rPr>
          <w:rFonts w:ascii="楷体" w:hAnsi="楷体" w:eastAsia="楷体" w:cs="楷体"/>
          <w:snapToGrid/>
          <w:spacing w:val="0"/>
          <w:w w:val="100"/>
          <w:kern w:val="32"/>
          <w:position w:val="0"/>
          <w:sz w:val="32"/>
          <w:szCs w:val="32"/>
        </w:rPr>
        <w:t>扩大政府性融资担保业务规模和覆盖面。</w:t>
      </w:r>
      <w:r>
        <w:rPr>
          <w:rFonts w:ascii="仿宋" w:hAnsi="仿宋" w:eastAsia="仿宋" w:cs="仿宋"/>
          <w:snapToGrid/>
          <w:spacing w:val="0"/>
          <w:w w:val="100"/>
          <w:kern w:val="32"/>
          <w:position w:val="0"/>
          <w:sz w:val="32"/>
          <w:szCs w:val="32"/>
        </w:rPr>
        <w:t>聚焦受疫情影响重点行业，对小微企业给予担保额度、期限、费率等政策倾斜。鼓励担保机构积极纳入国家</w:t>
      </w:r>
      <w:r>
        <w:rPr>
          <w:rFonts w:hint="eastAsia" w:ascii="仿宋" w:hAnsi="仿宋" w:eastAsia="仿宋" w:cs="仿宋"/>
          <w:snapToGrid/>
          <w:spacing w:val="0"/>
          <w:w w:val="100"/>
          <w:kern w:val="32"/>
          <w:position w:val="0"/>
          <w:sz w:val="32"/>
          <w:szCs w:val="32"/>
          <w:lang w:eastAsia="zh-CN"/>
        </w:rPr>
        <w:t>、</w:t>
      </w:r>
      <w:r>
        <w:rPr>
          <w:rFonts w:ascii="仿宋" w:hAnsi="仿宋" w:eastAsia="仿宋" w:cs="仿宋"/>
          <w:snapToGrid/>
          <w:spacing w:val="0"/>
          <w:w w:val="100"/>
          <w:kern w:val="32"/>
          <w:position w:val="0"/>
          <w:sz w:val="32"/>
          <w:szCs w:val="32"/>
        </w:rPr>
        <w:t>省</w:t>
      </w:r>
      <w:r>
        <w:rPr>
          <w:rFonts w:hint="eastAsia" w:ascii="仿宋" w:hAnsi="仿宋" w:eastAsia="仿宋" w:cs="仿宋"/>
          <w:snapToGrid/>
          <w:spacing w:val="0"/>
          <w:w w:val="100"/>
          <w:kern w:val="32"/>
          <w:position w:val="0"/>
          <w:sz w:val="32"/>
          <w:szCs w:val="32"/>
          <w:lang w:eastAsia="zh-CN"/>
        </w:rPr>
        <w:t>、</w:t>
      </w:r>
      <w:r>
        <w:rPr>
          <w:rFonts w:hint="eastAsia" w:ascii="仿宋" w:hAnsi="仿宋" w:eastAsia="仿宋" w:cs="仿宋"/>
          <w:snapToGrid/>
          <w:spacing w:val="0"/>
          <w:w w:val="100"/>
          <w:kern w:val="32"/>
          <w:position w:val="0"/>
          <w:sz w:val="32"/>
          <w:szCs w:val="32"/>
          <w:lang w:val="en-US" w:eastAsia="zh-CN"/>
        </w:rPr>
        <w:t>温州</w:t>
      </w:r>
      <w:r>
        <w:rPr>
          <w:rFonts w:ascii="Times New Roman" w:hAnsi="Times New Roman" w:eastAsia="Times New Roman" w:cs="Times New Roman"/>
          <w:snapToGrid/>
          <w:spacing w:val="0"/>
          <w:w w:val="100"/>
          <w:kern w:val="32"/>
          <w:position w:val="0"/>
          <w:sz w:val="32"/>
          <w:szCs w:val="32"/>
        </w:rPr>
        <w:t>“</w:t>
      </w:r>
      <w:r>
        <w:rPr>
          <w:rFonts w:ascii="仿宋" w:hAnsi="仿宋" w:eastAsia="仿宋" w:cs="仿宋"/>
          <w:snapToGrid/>
          <w:spacing w:val="0"/>
          <w:w w:val="100"/>
          <w:kern w:val="32"/>
          <w:position w:val="0"/>
          <w:sz w:val="32"/>
          <w:szCs w:val="32"/>
        </w:rPr>
        <w:t>总对总</w:t>
      </w:r>
      <w:r>
        <w:rPr>
          <w:rFonts w:ascii="Times New Roman" w:hAnsi="Times New Roman" w:eastAsia="Times New Roman" w:cs="Times New Roman"/>
          <w:snapToGrid/>
          <w:spacing w:val="0"/>
          <w:w w:val="100"/>
          <w:kern w:val="32"/>
          <w:position w:val="0"/>
          <w:sz w:val="32"/>
          <w:szCs w:val="32"/>
        </w:rPr>
        <w:t>”</w:t>
      </w:r>
      <w:r>
        <w:rPr>
          <w:rFonts w:ascii="仿宋" w:hAnsi="仿宋" w:eastAsia="仿宋" w:cs="仿宋"/>
          <w:snapToGrid/>
          <w:spacing w:val="0"/>
          <w:w w:val="100"/>
          <w:kern w:val="32"/>
          <w:position w:val="0"/>
          <w:sz w:val="32"/>
          <w:szCs w:val="32"/>
        </w:rPr>
        <w:t>合作机制，加快提高批量合作业务比重。进一步简化业务办理手续，优化审批流程，提高代偿容忍度，落实尽职免责，做到应担尽担、应保尽保。对无力还款的小微市场主体，及时代偿并适当延长追偿期。创新企业</w:t>
      </w:r>
      <w:r>
        <w:rPr>
          <w:rFonts w:ascii="Times New Roman" w:hAnsi="Times New Roman" w:eastAsia="Times New Roman" w:cs="Times New Roman"/>
          <w:snapToGrid/>
          <w:spacing w:val="0"/>
          <w:w w:val="100"/>
          <w:kern w:val="32"/>
          <w:position w:val="0"/>
          <w:sz w:val="32"/>
          <w:szCs w:val="32"/>
        </w:rPr>
        <w:t>“</w:t>
      </w:r>
      <w:r>
        <w:rPr>
          <w:rFonts w:ascii="仿宋" w:hAnsi="仿宋" w:eastAsia="仿宋" w:cs="仿宋"/>
          <w:snapToGrid/>
          <w:spacing w:val="0"/>
          <w:w w:val="100"/>
          <w:kern w:val="32"/>
          <w:position w:val="0"/>
          <w:sz w:val="32"/>
          <w:szCs w:val="32"/>
        </w:rPr>
        <w:t>防疫综合险</w:t>
      </w:r>
      <w:r>
        <w:rPr>
          <w:rFonts w:ascii="Times New Roman" w:hAnsi="Times New Roman" w:eastAsia="Times New Roman" w:cs="Times New Roman"/>
          <w:snapToGrid/>
          <w:spacing w:val="0"/>
          <w:w w:val="100"/>
          <w:kern w:val="32"/>
          <w:position w:val="0"/>
          <w:sz w:val="32"/>
          <w:szCs w:val="32"/>
        </w:rPr>
        <w:t>”</w:t>
      </w:r>
      <w:r>
        <w:rPr>
          <w:rFonts w:ascii="仿宋" w:hAnsi="仿宋" w:eastAsia="仿宋" w:cs="仿宋"/>
          <w:snapToGrid/>
          <w:spacing w:val="0"/>
          <w:w w:val="100"/>
          <w:kern w:val="32"/>
          <w:position w:val="0"/>
          <w:sz w:val="32"/>
          <w:szCs w:val="32"/>
        </w:rPr>
        <w:t>产品，为疫情可能导致企业停工所遭受的维持费用、疫情防控费用及营业利润损失提供保险保障。强化出口信用保险支持作用，短期出口信用保险保费扶持比例不低于</w:t>
      </w:r>
      <w:r>
        <w:rPr>
          <w:rFonts w:hint="eastAsia" w:ascii="Times New Roman" w:hAnsi="Times New Roman" w:eastAsia="宋体" w:cs="Times New Roman"/>
          <w:snapToGrid/>
          <w:spacing w:val="0"/>
          <w:w w:val="100"/>
          <w:kern w:val="32"/>
          <w:position w:val="0"/>
          <w:sz w:val="32"/>
          <w:szCs w:val="32"/>
          <w:lang w:val="en-US" w:eastAsia="zh-CN"/>
        </w:rPr>
        <w:t>8</w:t>
      </w:r>
      <w:r>
        <w:rPr>
          <w:rFonts w:ascii="Times New Roman" w:hAnsi="Times New Roman" w:eastAsia="Times New Roman" w:cs="Times New Roman"/>
          <w:snapToGrid/>
          <w:spacing w:val="0"/>
          <w:w w:val="100"/>
          <w:kern w:val="32"/>
          <w:position w:val="0"/>
          <w:sz w:val="32"/>
          <w:szCs w:val="32"/>
        </w:rPr>
        <w:t>0%</w:t>
      </w:r>
      <w:r>
        <w:rPr>
          <w:rFonts w:hint="eastAsia" w:ascii="Times New Roman" w:hAnsi="Times New Roman" w:eastAsia="宋体" w:cs="Times New Roman"/>
          <w:snapToGrid/>
          <w:spacing w:val="0"/>
          <w:w w:val="100"/>
          <w:kern w:val="32"/>
          <w:position w:val="0"/>
          <w:sz w:val="32"/>
          <w:szCs w:val="32"/>
          <w:lang w:eastAsia="zh-CN"/>
        </w:rPr>
        <w:t>，</w:t>
      </w:r>
      <w:r>
        <w:rPr>
          <w:rFonts w:ascii="仿宋" w:hAnsi="仿宋" w:eastAsia="仿宋" w:cs="仿宋"/>
          <w:snapToGrid/>
          <w:spacing w:val="0"/>
          <w:w w:val="100"/>
          <w:kern w:val="32"/>
          <w:position w:val="0"/>
          <w:sz w:val="32"/>
          <w:szCs w:val="32"/>
        </w:rPr>
        <w:t>单个企业最高不超过</w:t>
      </w:r>
      <w:r>
        <w:rPr>
          <w:rFonts w:ascii="Times New Roman" w:hAnsi="Times New Roman" w:eastAsia="Times New Roman" w:cs="Times New Roman"/>
          <w:snapToGrid/>
          <w:spacing w:val="0"/>
          <w:w w:val="100"/>
          <w:kern w:val="32"/>
          <w:position w:val="0"/>
          <w:sz w:val="32"/>
          <w:szCs w:val="32"/>
        </w:rPr>
        <w:t>500</w:t>
      </w:r>
      <w:r>
        <w:rPr>
          <w:rFonts w:ascii="仿宋" w:hAnsi="仿宋" w:eastAsia="仿宋" w:cs="仿宋"/>
          <w:snapToGrid/>
          <w:spacing w:val="0"/>
          <w:w w:val="100"/>
          <w:kern w:val="32"/>
          <w:position w:val="0"/>
          <w:sz w:val="32"/>
          <w:szCs w:val="32"/>
        </w:rPr>
        <w:t>万元。</w:t>
      </w:r>
      <w:r>
        <w:rPr>
          <w:rFonts w:hint="eastAsia" w:ascii="仿宋" w:hAnsi="仿宋" w:eastAsia="仿宋" w:cs="仿宋"/>
          <w:snapToGrid/>
          <w:spacing w:val="0"/>
          <w:w w:val="100"/>
          <w:kern w:val="32"/>
          <w:position w:val="0"/>
          <w:sz w:val="32"/>
          <w:szCs w:val="32"/>
          <w:lang w:eastAsia="zh-CN"/>
        </w:rPr>
        <w:t>（</w:t>
      </w:r>
      <w:r>
        <w:rPr>
          <w:rFonts w:hint="eastAsia" w:ascii="仿宋" w:hAnsi="仿宋" w:eastAsia="仿宋" w:cs="仿宋"/>
          <w:snapToGrid/>
          <w:spacing w:val="0"/>
          <w:w w:val="100"/>
          <w:kern w:val="32"/>
          <w:position w:val="0"/>
          <w:sz w:val="32"/>
          <w:szCs w:val="32"/>
          <w:lang w:val="en-US" w:eastAsia="zh-CN"/>
        </w:rPr>
        <w:t>责任单位：</w:t>
      </w:r>
      <w:r>
        <w:rPr>
          <w:rFonts w:hint="eastAsia" w:ascii="仿宋" w:hAnsi="仿宋" w:eastAsia="仿宋" w:cs="仿宋"/>
          <w:snapToGrid/>
          <w:color w:val="FF0000"/>
          <w:spacing w:val="0"/>
          <w:w w:val="100"/>
          <w:kern w:val="32"/>
          <w:position w:val="0"/>
          <w:sz w:val="32"/>
          <w:szCs w:val="32"/>
          <w:lang w:val="en-US" w:eastAsia="zh-CN"/>
        </w:rPr>
        <w:t>市经发局-金融口、商贸口</w:t>
      </w:r>
      <w:r>
        <w:rPr>
          <w:rFonts w:hint="eastAsia" w:ascii="仿宋" w:hAnsi="仿宋" w:eastAsia="仿宋" w:cs="仿宋"/>
          <w:snapToGrid/>
          <w:spacing w:val="0"/>
          <w:w w:val="100"/>
          <w:kern w:val="32"/>
          <w:position w:val="0"/>
          <w:sz w:val="32"/>
          <w:szCs w:val="32"/>
          <w:lang w:val="en-US" w:eastAsia="zh-CN"/>
        </w:rPr>
        <w:t>、市财政局人行苍南支行</w:t>
      </w:r>
      <w:r>
        <w:rPr>
          <w:rFonts w:hint="eastAsia" w:ascii="仿宋" w:hAnsi="仿宋" w:eastAsia="仿宋" w:cs="仿宋"/>
          <w:snapToGrid/>
          <w:spacing w:val="0"/>
          <w:w w:val="100"/>
          <w:kern w:val="32"/>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spacing w:line="240" w:lineRule="auto"/>
        <w:ind w:firstLine="649"/>
        <w:textAlignment w:val="baseline"/>
        <w:rPr>
          <w:rFonts w:hint="eastAsia" w:ascii="仿宋" w:hAnsi="仿宋" w:eastAsia="仿宋" w:cs="仿宋"/>
          <w:snapToGrid/>
          <w:spacing w:val="0"/>
          <w:w w:val="100"/>
          <w:kern w:val="32"/>
          <w:position w:val="0"/>
          <w:sz w:val="32"/>
          <w:szCs w:val="32"/>
          <w:lang w:eastAsia="zh-CN"/>
        </w:rPr>
      </w:pPr>
      <w:r>
        <w:rPr>
          <w:rFonts w:ascii="Times New Roman" w:hAnsi="Times New Roman" w:eastAsia="Times New Roman" w:cs="Times New Roman"/>
          <w:snapToGrid/>
          <w:spacing w:val="0"/>
          <w:w w:val="100"/>
          <w:kern w:val="32"/>
          <w:position w:val="0"/>
          <w:sz w:val="32"/>
          <w:szCs w:val="32"/>
        </w:rPr>
        <w:t>5.</w:t>
      </w:r>
      <w:r>
        <w:rPr>
          <w:rFonts w:ascii="楷体" w:hAnsi="楷体" w:eastAsia="楷体" w:cs="楷体"/>
          <w:snapToGrid/>
          <w:spacing w:val="0"/>
          <w:w w:val="100"/>
          <w:kern w:val="32"/>
          <w:position w:val="0"/>
          <w:sz w:val="32"/>
          <w:szCs w:val="32"/>
        </w:rPr>
        <w:t>加大政府采购支持中小企业力度。</w:t>
      </w:r>
      <w:r>
        <w:rPr>
          <w:rFonts w:ascii="仿宋" w:hAnsi="仿宋" w:eastAsia="仿宋" w:cs="仿宋"/>
          <w:snapToGrid/>
          <w:spacing w:val="0"/>
          <w:w w:val="100"/>
          <w:kern w:val="32"/>
          <w:position w:val="0"/>
          <w:sz w:val="32"/>
          <w:szCs w:val="32"/>
        </w:rPr>
        <w:t>提高政府采购中小企业预留比例。进一步提高政府采购价格扣除评审优惠幅度，对符合规定的小微企业报价按最高优惠幅度给予扣除。鼓励采购单位根据项目特点、供应商诚信等因素免收履约保证金或降低缴纳比例。政府采购货物和服务项目收取履约保证金的，最高缴纳比例下调为不超过合同金额的</w:t>
      </w:r>
      <w:r>
        <w:rPr>
          <w:rFonts w:ascii="Times New Roman" w:hAnsi="Times New Roman" w:eastAsia="Times New Roman" w:cs="Times New Roman"/>
          <w:snapToGrid/>
          <w:spacing w:val="0"/>
          <w:w w:val="100"/>
          <w:kern w:val="32"/>
          <w:position w:val="0"/>
          <w:sz w:val="32"/>
          <w:szCs w:val="32"/>
        </w:rPr>
        <w:t>1%</w:t>
      </w:r>
      <w:r>
        <w:rPr>
          <w:rFonts w:ascii="仿宋" w:hAnsi="仿宋" w:eastAsia="仿宋" w:cs="仿宋"/>
          <w:snapToGrid/>
          <w:spacing w:val="0"/>
          <w:w w:val="100"/>
          <w:kern w:val="32"/>
          <w:position w:val="0"/>
          <w:sz w:val="32"/>
          <w:szCs w:val="32"/>
        </w:rPr>
        <w:t>。政府采购工程以及与工程建设有关的货物、服务，执行预留份额、价格评审优惠、优先采购等政策，根据项目特点和专业领域合理划分采购包，鼓励积极扩大联合体投标、大企业分包，降低中小企业参与政府采购门槛。</w:t>
      </w:r>
      <w:r>
        <w:rPr>
          <w:rFonts w:hint="eastAsia" w:ascii="仿宋" w:hAnsi="仿宋" w:eastAsia="仿宋" w:cs="仿宋"/>
          <w:snapToGrid/>
          <w:spacing w:val="0"/>
          <w:w w:val="100"/>
          <w:kern w:val="32"/>
          <w:position w:val="0"/>
          <w:sz w:val="32"/>
          <w:szCs w:val="32"/>
          <w:lang w:eastAsia="zh-CN"/>
        </w:rPr>
        <w:t>（</w:t>
      </w:r>
      <w:r>
        <w:rPr>
          <w:rFonts w:hint="eastAsia" w:ascii="仿宋" w:hAnsi="仿宋" w:eastAsia="仿宋" w:cs="仿宋"/>
          <w:snapToGrid/>
          <w:spacing w:val="0"/>
          <w:w w:val="100"/>
          <w:kern w:val="32"/>
          <w:position w:val="0"/>
          <w:sz w:val="32"/>
          <w:szCs w:val="32"/>
          <w:lang w:val="en-US" w:eastAsia="zh-CN"/>
        </w:rPr>
        <w:t>责任单位：</w:t>
      </w:r>
      <w:r>
        <w:rPr>
          <w:rFonts w:hint="eastAsia" w:ascii="仿宋" w:hAnsi="仿宋" w:eastAsia="仿宋" w:cs="仿宋"/>
          <w:snapToGrid/>
          <w:color w:val="FF0000"/>
          <w:spacing w:val="0"/>
          <w:w w:val="100"/>
          <w:kern w:val="32"/>
          <w:position w:val="0"/>
          <w:sz w:val="32"/>
          <w:szCs w:val="32"/>
          <w:lang w:val="en-US" w:eastAsia="zh-CN"/>
        </w:rPr>
        <w:t>市财政局</w:t>
      </w:r>
      <w:r>
        <w:rPr>
          <w:rFonts w:hint="eastAsia" w:ascii="仿宋" w:hAnsi="仿宋" w:eastAsia="仿宋" w:cs="仿宋"/>
          <w:snapToGrid/>
          <w:spacing w:val="0"/>
          <w:w w:val="100"/>
          <w:kern w:val="32"/>
          <w:position w:val="0"/>
          <w:sz w:val="32"/>
          <w:szCs w:val="32"/>
          <w:lang w:val="en-US" w:eastAsia="zh-CN"/>
        </w:rPr>
        <w:t>、市经发局-发改口、经信口、商贸口、市自然资源与规划建设局、市农业农村局、市政务服务中心</w:t>
      </w:r>
      <w:r>
        <w:rPr>
          <w:rFonts w:hint="eastAsia" w:ascii="仿宋" w:hAnsi="仿宋" w:eastAsia="仿宋" w:cs="仿宋"/>
          <w:snapToGrid/>
          <w:spacing w:val="0"/>
          <w:w w:val="100"/>
          <w:kern w:val="32"/>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spacing w:line="240" w:lineRule="auto"/>
        <w:ind w:firstLine="649"/>
        <w:textAlignment w:val="baseline"/>
        <w:rPr>
          <w:rFonts w:hint="eastAsia" w:ascii="仿宋" w:hAnsi="仿宋" w:eastAsia="仿宋" w:cs="仿宋"/>
          <w:snapToGrid/>
          <w:spacing w:val="0"/>
          <w:w w:val="100"/>
          <w:kern w:val="32"/>
          <w:position w:val="0"/>
          <w:sz w:val="32"/>
          <w:szCs w:val="32"/>
          <w:lang w:eastAsia="zh-CN"/>
        </w:rPr>
      </w:pPr>
      <w:r>
        <w:rPr>
          <w:rFonts w:ascii="Times New Roman" w:hAnsi="Times New Roman" w:eastAsia="Times New Roman" w:cs="Times New Roman"/>
          <w:snapToGrid/>
          <w:spacing w:val="0"/>
          <w:w w:val="100"/>
          <w:kern w:val="32"/>
          <w:position w:val="0"/>
          <w:sz w:val="32"/>
          <w:szCs w:val="32"/>
        </w:rPr>
        <w:t>6.</w:t>
      </w:r>
      <w:r>
        <w:rPr>
          <w:rFonts w:ascii="楷体" w:hAnsi="楷体" w:eastAsia="楷体" w:cs="楷体"/>
          <w:snapToGrid/>
          <w:spacing w:val="0"/>
          <w:w w:val="100"/>
          <w:kern w:val="32"/>
          <w:position w:val="0"/>
          <w:sz w:val="32"/>
          <w:szCs w:val="32"/>
        </w:rPr>
        <w:t>扩大实施社保费缓缴政策。</w:t>
      </w:r>
      <w:r>
        <w:rPr>
          <w:rFonts w:ascii="仿宋" w:hAnsi="仿宋" w:eastAsia="仿宋" w:cs="仿宋"/>
          <w:snapToGrid/>
          <w:spacing w:val="0"/>
          <w:w w:val="100"/>
          <w:kern w:val="32"/>
          <w:position w:val="0"/>
          <w:sz w:val="32"/>
          <w:szCs w:val="32"/>
        </w:rPr>
        <w:t>延续实施阶段性降低失业保险费率政策，扩大政策范围，对受疫情影响生产经营出现暂时困难的所有中小微企业、以单位方式参保的个体工商户，餐饮、零售、旅游、民航、公路水陆铁路运输等</w:t>
      </w:r>
      <w:r>
        <w:rPr>
          <w:rFonts w:ascii="Times New Roman" w:hAnsi="Times New Roman" w:eastAsia="Times New Roman" w:cs="Times New Roman"/>
          <w:snapToGrid/>
          <w:spacing w:val="0"/>
          <w:w w:val="100"/>
          <w:kern w:val="32"/>
          <w:position w:val="0"/>
          <w:sz w:val="32"/>
          <w:szCs w:val="32"/>
        </w:rPr>
        <w:t>5</w:t>
      </w:r>
      <w:r>
        <w:rPr>
          <w:rFonts w:ascii="仿宋" w:hAnsi="仿宋" w:eastAsia="仿宋" w:cs="仿宋"/>
          <w:snapToGrid/>
          <w:spacing w:val="0"/>
          <w:w w:val="100"/>
          <w:kern w:val="32"/>
          <w:position w:val="0"/>
          <w:sz w:val="32"/>
          <w:szCs w:val="32"/>
        </w:rPr>
        <w:t>个特困行业以及其他特困行业阶段性缓缴三项社会保险费。缓缴政策期限延长至年底，其中</w:t>
      </w:r>
      <w:r>
        <w:rPr>
          <w:rFonts w:ascii="Times New Roman" w:hAnsi="Times New Roman" w:eastAsia="Times New Roman" w:cs="Times New Roman"/>
          <w:snapToGrid/>
          <w:spacing w:val="0"/>
          <w:w w:val="100"/>
          <w:kern w:val="32"/>
          <w:position w:val="0"/>
          <w:sz w:val="32"/>
          <w:szCs w:val="32"/>
        </w:rPr>
        <w:t>5</w:t>
      </w:r>
      <w:r>
        <w:rPr>
          <w:rFonts w:ascii="仿宋" w:hAnsi="仿宋" w:eastAsia="仿宋" w:cs="仿宋"/>
          <w:snapToGrid/>
          <w:spacing w:val="0"/>
          <w:w w:val="100"/>
          <w:kern w:val="32"/>
          <w:position w:val="0"/>
          <w:sz w:val="32"/>
          <w:szCs w:val="32"/>
        </w:rPr>
        <w:t>个特困行业工伤、失业保险费缓缴期限不超过</w:t>
      </w:r>
      <w:r>
        <w:rPr>
          <w:rFonts w:ascii="Times New Roman" w:hAnsi="Times New Roman" w:eastAsia="Times New Roman" w:cs="Times New Roman"/>
          <w:snapToGrid/>
          <w:spacing w:val="0"/>
          <w:w w:val="100"/>
          <w:kern w:val="32"/>
          <w:position w:val="0"/>
          <w:sz w:val="32"/>
          <w:szCs w:val="32"/>
        </w:rPr>
        <w:t>1</w:t>
      </w:r>
      <w:r>
        <w:rPr>
          <w:rFonts w:ascii="仿宋" w:hAnsi="仿宋" w:eastAsia="仿宋" w:cs="仿宋"/>
          <w:snapToGrid/>
          <w:spacing w:val="0"/>
          <w:w w:val="100"/>
          <w:kern w:val="32"/>
          <w:position w:val="0"/>
          <w:sz w:val="32"/>
          <w:szCs w:val="32"/>
        </w:rPr>
        <w:t>年。</w:t>
      </w:r>
      <w:r>
        <w:rPr>
          <w:rFonts w:hint="eastAsia" w:ascii="仿宋" w:hAnsi="仿宋" w:eastAsia="仿宋" w:cs="仿宋"/>
          <w:snapToGrid/>
          <w:spacing w:val="0"/>
          <w:w w:val="100"/>
          <w:kern w:val="32"/>
          <w:position w:val="0"/>
          <w:sz w:val="32"/>
          <w:szCs w:val="32"/>
          <w:lang w:eastAsia="zh-CN"/>
        </w:rPr>
        <w:t>（</w:t>
      </w:r>
      <w:r>
        <w:rPr>
          <w:rFonts w:hint="eastAsia" w:ascii="仿宋" w:hAnsi="仿宋" w:eastAsia="仿宋" w:cs="仿宋"/>
          <w:snapToGrid/>
          <w:spacing w:val="0"/>
          <w:w w:val="100"/>
          <w:kern w:val="32"/>
          <w:position w:val="0"/>
          <w:sz w:val="32"/>
          <w:szCs w:val="32"/>
          <w:lang w:val="en-US" w:eastAsia="zh-CN"/>
        </w:rPr>
        <w:t>责任单位：</w:t>
      </w:r>
      <w:r>
        <w:rPr>
          <w:rFonts w:hint="eastAsia" w:ascii="仿宋" w:hAnsi="仿宋" w:eastAsia="仿宋" w:cs="仿宋"/>
          <w:snapToGrid/>
          <w:color w:val="FF0000"/>
          <w:spacing w:val="0"/>
          <w:w w:val="100"/>
          <w:kern w:val="32"/>
          <w:position w:val="0"/>
          <w:sz w:val="32"/>
          <w:szCs w:val="32"/>
          <w:lang w:val="en-US" w:eastAsia="zh-CN"/>
        </w:rPr>
        <w:t>市社会事业局</w:t>
      </w:r>
      <w:r>
        <w:rPr>
          <w:rFonts w:hint="eastAsia" w:ascii="仿宋" w:hAnsi="仿宋" w:eastAsia="仿宋" w:cs="仿宋"/>
          <w:snapToGrid/>
          <w:spacing w:val="0"/>
          <w:w w:val="100"/>
          <w:kern w:val="32"/>
          <w:position w:val="0"/>
          <w:sz w:val="32"/>
          <w:szCs w:val="32"/>
          <w:lang w:val="en-US" w:eastAsia="zh-CN"/>
        </w:rPr>
        <w:t>、市经发局-发改口、市财政局、市税务局</w:t>
      </w:r>
      <w:r>
        <w:rPr>
          <w:rFonts w:hint="eastAsia" w:ascii="仿宋" w:hAnsi="仿宋" w:eastAsia="仿宋" w:cs="仿宋"/>
          <w:snapToGrid/>
          <w:spacing w:val="0"/>
          <w:w w:val="100"/>
          <w:kern w:val="32"/>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spacing w:line="240" w:lineRule="auto"/>
        <w:ind w:firstLine="649"/>
        <w:textAlignment w:val="baseline"/>
        <w:rPr>
          <w:rFonts w:hint="eastAsia" w:ascii="仿宋" w:hAnsi="仿宋" w:eastAsia="仿宋" w:cs="仿宋"/>
          <w:snapToGrid/>
          <w:spacing w:val="0"/>
          <w:w w:val="100"/>
          <w:kern w:val="32"/>
          <w:position w:val="0"/>
          <w:sz w:val="32"/>
          <w:szCs w:val="32"/>
          <w:lang w:eastAsia="zh-CN"/>
        </w:rPr>
      </w:pPr>
      <w:r>
        <w:rPr>
          <w:rFonts w:ascii="Times New Roman" w:hAnsi="Times New Roman" w:eastAsia="Times New Roman" w:cs="Times New Roman"/>
          <w:snapToGrid/>
          <w:spacing w:val="0"/>
          <w:w w:val="100"/>
          <w:kern w:val="32"/>
          <w:position w:val="0"/>
          <w:sz w:val="32"/>
          <w:szCs w:val="32"/>
        </w:rPr>
        <w:t>7.</w:t>
      </w:r>
      <w:r>
        <w:rPr>
          <w:rFonts w:ascii="楷体" w:hAnsi="楷体" w:eastAsia="楷体" w:cs="楷体"/>
          <w:snapToGrid/>
          <w:spacing w:val="0"/>
          <w:w w:val="100"/>
          <w:kern w:val="32"/>
          <w:position w:val="0"/>
          <w:sz w:val="32"/>
          <w:szCs w:val="32"/>
        </w:rPr>
        <w:t>加大稳岗就业的支持力度。</w:t>
      </w:r>
      <w:r>
        <w:rPr>
          <w:rFonts w:ascii="仿宋" w:hAnsi="仿宋" w:eastAsia="仿宋" w:cs="仿宋"/>
          <w:snapToGrid/>
          <w:spacing w:val="0"/>
          <w:w w:val="100"/>
          <w:kern w:val="32"/>
          <w:position w:val="0"/>
          <w:sz w:val="32"/>
          <w:szCs w:val="32"/>
        </w:rPr>
        <w:t>对不裁员、少裁员企业继续实施普惠性失业保险稳岗返还政策，将大型企业返还比例提高至</w:t>
      </w:r>
      <w:r>
        <w:rPr>
          <w:rFonts w:ascii="Times New Roman" w:hAnsi="Times New Roman" w:eastAsia="Times New Roman" w:cs="Times New Roman"/>
          <w:snapToGrid/>
          <w:spacing w:val="0"/>
          <w:w w:val="100"/>
          <w:kern w:val="32"/>
          <w:position w:val="0"/>
          <w:sz w:val="32"/>
          <w:szCs w:val="32"/>
        </w:rPr>
        <w:t>50%</w:t>
      </w:r>
      <w:r>
        <w:rPr>
          <w:rFonts w:hint="eastAsia" w:ascii="Times New Roman" w:hAnsi="Times New Roman" w:eastAsia="宋体" w:cs="Times New Roman"/>
          <w:snapToGrid/>
          <w:spacing w:val="0"/>
          <w:w w:val="100"/>
          <w:kern w:val="32"/>
          <w:position w:val="0"/>
          <w:sz w:val="32"/>
          <w:szCs w:val="32"/>
          <w:lang w:eastAsia="zh-CN"/>
        </w:rPr>
        <w:t>，</w:t>
      </w:r>
      <w:r>
        <w:rPr>
          <w:rFonts w:ascii="仿宋" w:hAnsi="仿宋" w:eastAsia="仿宋" w:cs="仿宋"/>
          <w:snapToGrid/>
          <w:spacing w:val="0"/>
          <w:w w:val="100"/>
          <w:kern w:val="32"/>
          <w:position w:val="0"/>
          <w:sz w:val="32"/>
          <w:szCs w:val="32"/>
        </w:rPr>
        <w:t>中小微企业按</w:t>
      </w:r>
      <w:r>
        <w:rPr>
          <w:rFonts w:ascii="Times New Roman" w:hAnsi="Times New Roman" w:eastAsia="Times New Roman" w:cs="Times New Roman"/>
          <w:snapToGrid/>
          <w:spacing w:val="0"/>
          <w:w w:val="100"/>
          <w:kern w:val="32"/>
          <w:position w:val="0"/>
          <w:sz w:val="32"/>
          <w:szCs w:val="32"/>
        </w:rPr>
        <w:t>90%</w:t>
      </w:r>
      <w:r>
        <w:rPr>
          <w:rFonts w:ascii="仿宋" w:hAnsi="仿宋" w:eastAsia="仿宋" w:cs="仿宋"/>
          <w:snapToGrid/>
          <w:spacing w:val="0"/>
          <w:w w:val="100"/>
          <w:kern w:val="32"/>
          <w:position w:val="0"/>
          <w:sz w:val="32"/>
          <w:szCs w:val="32"/>
        </w:rPr>
        <w:t>返还。持续推行</w:t>
      </w:r>
      <w:r>
        <w:rPr>
          <w:rFonts w:ascii="Times New Roman" w:hAnsi="Times New Roman" w:eastAsia="Times New Roman" w:cs="Times New Roman"/>
          <w:snapToGrid/>
          <w:spacing w:val="0"/>
          <w:w w:val="100"/>
          <w:kern w:val="32"/>
          <w:position w:val="0"/>
          <w:sz w:val="32"/>
          <w:szCs w:val="32"/>
        </w:rPr>
        <w:t>“</w:t>
      </w:r>
      <w:r>
        <w:rPr>
          <w:rFonts w:ascii="仿宋" w:hAnsi="仿宋" w:eastAsia="仿宋" w:cs="仿宋"/>
          <w:snapToGrid/>
          <w:spacing w:val="0"/>
          <w:w w:val="100"/>
          <w:kern w:val="32"/>
          <w:position w:val="0"/>
          <w:sz w:val="32"/>
          <w:szCs w:val="32"/>
        </w:rPr>
        <w:t>无感智办</w:t>
      </w:r>
      <w:r>
        <w:rPr>
          <w:rFonts w:ascii="Times New Roman" w:hAnsi="Times New Roman" w:eastAsia="Times New Roman" w:cs="Times New Roman"/>
          <w:snapToGrid/>
          <w:spacing w:val="0"/>
          <w:w w:val="100"/>
          <w:kern w:val="32"/>
          <w:position w:val="0"/>
          <w:sz w:val="32"/>
          <w:szCs w:val="32"/>
        </w:rPr>
        <w:t>”“</w:t>
      </w:r>
      <w:r>
        <w:rPr>
          <w:rFonts w:ascii="仿宋" w:hAnsi="仿宋" w:eastAsia="仿宋" w:cs="仿宋"/>
          <w:snapToGrid/>
          <w:spacing w:val="0"/>
          <w:w w:val="100"/>
          <w:kern w:val="32"/>
          <w:position w:val="0"/>
          <w:sz w:val="32"/>
          <w:szCs w:val="32"/>
        </w:rPr>
        <w:t>免申即享</w:t>
      </w:r>
      <w:r>
        <w:rPr>
          <w:rFonts w:ascii="Times New Roman" w:hAnsi="Times New Roman" w:eastAsia="Times New Roman" w:cs="Times New Roman"/>
          <w:snapToGrid/>
          <w:spacing w:val="0"/>
          <w:w w:val="100"/>
          <w:kern w:val="32"/>
          <w:position w:val="0"/>
          <w:sz w:val="32"/>
          <w:szCs w:val="32"/>
        </w:rPr>
        <w:t xml:space="preserve">” </w:t>
      </w:r>
      <w:r>
        <w:rPr>
          <w:rFonts w:ascii="仿宋" w:hAnsi="仿宋" w:eastAsia="仿宋" w:cs="仿宋"/>
          <w:snapToGrid/>
          <w:spacing w:val="0"/>
          <w:w w:val="100"/>
          <w:kern w:val="32"/>
          <w:position w:val="0"/>
          <w:sz w:val="32"/>
          <w:szCs w:val="32"/>
        </w:rPr>
        <w:t>便民申请模式。拓宽失业保险留工补助政策受益范围，扩大至受疫情严重影响暂时无法正常生产经营的所有参保企业。对企业招用</w:t>
      </w:r>
      <w:r>
        <w:rPr>
          <w:rFonts w:ascii="Times New Roman" w:hAnsi="Times New Roman" w:eastAsia="Times New Roman" w:cs="Times New Roman"/>
          <w:snapToGrid/>
          <w:spacing w:val="0"/>
          <w:w w:val="100"/>
          <w:kern w:val="32"/>
          <w:position w:val="0"/>
          <w:sz w:val="32"/>
          <w:szCs w:val="32"/>
        </w:rPr>
        <w:t>2022</w:t>
      </w:r>
      <w:r>
        <w:rPr>
          <w:rFonts w:ascii="仿宋" w:hAnsi="仿宋" w:eastAsia="仿宋" w:cs="仿宋"/>
          <w:snapToGrid/>
          <w:spacing w:val="0"/>
          <w:w w:val="100"/>
          <w:kern w:val="32"/>
          <w:position w:val="0"/>
          <w:sz w:val="32"/>
          <w:szCs w:val="32"/>
        </w:rPr>
        <w:t xml:space="preserve">年度高校毕业生按每人不超过 </w:t>
      </w:r>
      <w:r>
        <w:rPr>
          <w:rFonts w:ascii="Times New Roman" w:hAnsi="Times New Roman" w:eastAsia="Times New Roman" w:cs="Times New Roman"/>
          <w:snapToGrid/>
          <w:spacing w:val="0"/>
          <w:w w:val="100"/>
          <w:kern w:val="32"/>
          <w:position w:val="0"/>
          <w:sz w:val="32"/>
          <w:szCs w:val="32"/>
        </w:rPr>
        <w:t>1500</w:t>
      </w:r>
      <w:r>
        <w:rPr>
          <w:rFonts w:ascii="仿宋" w:hAnsi="仿宋" w:eastAsia="仿宋" w:cs="仿宋"/>
          <w:snapToGrid/>
          <w:spacing w:val="0"/>
          <w:w w:val="100"/>
          <w:kern w:val="32"/>
          <w:position w:val="0"/>
          <w:sz w:val="32"/>
          <w:szCs w:val="32"/>
        </w:rPr>
        <w:t>元的标准</w:t>
      </w:r>
      <w:r>
        <w:rPr>
          <w:rFonts w:hint="eastAsia" w:ascii="仿宋" w:hAnsi="仿宋" w:eastAsia="仿宋" w:cs="仿宋"/>
          <w:snapToGrid/>
          <w:spacing w:val="0"/>
          <w:w w:val="100"/>
          <w:kern w:val="32"/>
          <w:position w:val="0"/>
          <w:sz w:val="32"/>
          <w:szCs w:val="32"/>
          <w:lang w:eastAsia="zh-CN"/>
        </w:rPr>
        <w:t>，</w:t>
      </w:r>
      <w:r>
        <w:rPr>
          <w:rFonts w:ascii="仿宋" w:hAnsi="仿宋" w:eastAsia="仿宋" w:cs="仿宋"/>
          <w:snapToGrid/>
          <w:spacing w:val="0"/>
          <w:w w:val="100"/>
          <w:kern w:val="32"/>
          <w:position w:val="0"/>
          <w:sz w:val="32"/>
          <w:szCs w:val="32"/>
        </w:rPr>
        <w:t>发放一次性扩岗补助</w:t>
      </w:r>
      <w:r>
        <w:rPr>
          <w:rFonts w:hint="eastAsia" w:ascii="仿宋" w:hAnsi="仿宋" w:eastAsia="仿宋" w:cs="仿宋"/>
          <w:snapToGrid/>
          <w:spacing w:val="0"/>
          <w:w w:val="100"/>
          <w:kern w:val="32"/>
          <w:position w:val="0"/>
          <w:sz w:val="32"/>
          <w:szCs w:val="32"/>
          <w:lang w:eastAsia="zh-CN"/>
        </w:rPr>
        <w:t>，</w:t>
      </w:r>
      <w:r>
        <w:rPr>
          <w:rFonts w:ascii="仿宋" w:hAnsi="仿宋" w:eastAsia="仿宋" w:cs="仿宋"/>
          <w:snapToGrid/>
          <w:spacing w:val="0"/>
          <w:w w:val="100"/>
          <w:kern w:val="32"/>
          <w:position w:val="0"/>
          <w:sz w:val="32"/>
          <w:szCs w:val="32"/>
        </w:rPr>
        <w:t>与一次性吸纳就业补贴不重复享受，政策执行期限至</w:t>
      </w:r>
      <w:r>
        <w:rPr>
          <w:rFonts w:ascii="Times New Roman" w:hAnsi="Times New Roman" w:eastAsia="Times New Roman" w:cs="Times New Roman"/>
          <w:snapToGrid/>
          <w:spacing w:val="0"/>
          <w:w w:val="100"/>
          <w:kern w:val="32"/>
          <w:position w:val="0"/>
          <w:sz w:val="32"/>
          <w:szCs w:val="32"/>
        </w:rPr>
        <w:t>2022</w:t>
      </w:r>
      <w:r>
        <w:rPr>
          <w:rFonts w:ascii="仿宋" w:hAnsi="仿宋" w:eastAsia="仿宋" w:cs="仿宋"/>
          <w:snapToGrid/>
          <w:spacing w:val="0"/>
          <w:w w:val="100"/>
          <w:kern w:val="32"/>
          <w:position w:val="0"/>
          <w:sz w:val="32"/>
          <w:szCs w:val="32"/>
        </w:rPr>
        <w:t>年底。落实企业基础研究投入税收优惠政策，企业用于资助基础研究的捐赠支出，按规定享受公益性捐赠税前扣除政策。开展防范和化解拖欠中小企业账款专项行动。</w:t>
      </w:r>
      <w:r>
        <w:rPr>
          <w:rFonts w:hint="eastAsia" w:ascii="仿宋" w:hAnsi="仿宋" w:eastAsia="仿宋" w:cs="仿宋"/>
          <w:snapToGrid/>
          <w:spacing w:val="0"/>
          <w:w w:val="100"/>
          <w:kern w:val="32"/>
          <w:position w:val="0"/>
          <w:sz w:val="32"/>
          <w:szCs w:val="32"/>
          <w:lang w:eastAsia="zh-CN"/>
        </w:rPr>
        <w:t>（</w:t>
      </w:r>
      <w:r>
        <w:rPr>
          <w:rFonts w:hint="eastAsia" w:ascii="仿宋" w:hAnsi="仿宋" w:eastAsia="仿宋" w:cs="仿宋"/>
          <w:snapToGrid/>
          <w:spacing w:val="0"/>
          <w:w w:val="100"/>
          <w:kern w:val="32"/>
          <w:position w:val="0"/>
          <w:sz w:val="32"/>
          <w:szCs w:val="32"/>
          <w:lang w:val="en-US" w:eastAsia="zh-CN"/>
        </w:rPr>
        <w:t>责任单位：</w:t>
      </w:r>
      <w:r>
        <w:rPr>
          <w:rFonts w:hint="eastAsia" w:ascii="仿宋" w:hAnsi="仿宋" w:eastAsia="仿宋" w:cs="仿宋"/>
          <w:snapToGrid/>
          <w:color w:val="FF0000"/>
          <w:spacing w:val="0"/>
          <w:w w:val="100"/>
          <w:kern w:val="32"/>
          <w:position w:val="0"/>
          <w:sz w:val="32"/>
          <w:szCs w:val="32"/>
          <w:lang w:val="en-US" w:eastAsia="zh-CN"/>
        </w:rPr>
        <w:t>市社会事业局</w:t>
      </w:r>
      <w:r>
        <w:rPr>
          <w:rFonts w:hint="eastAsia" w:ascii="仿宋" w:hAnsi="仿宋" w:eastAsia="仿宋" w:cs="仿宋"/>
          <w:snapToGrid/>
          <w:spacing w:val="0"/>
          <w:w w:val="100"/>
          <w:kern w:val="32"/>
          <w:position w:val="0"/>
          <w:sz w:val="32"/>
          <w:szCs w:val="32"/>
          <w:lang w:val="en-US" w:eastAsia="zh-CN"/>
        </w:rPr>
        <w:t>、市经发局-经信口、科技口、市财政局、市税务局</w:t>
      </w:r>
      <w:r>
        <w:rPr>
          <w:rFonts w:hint="eastAsia" w:ascii="仿宋" w:hAnsi="仿宋" w:eastAsia="仿宋" w:cs="仿宋"/>
          <w:snapToGrid/>
          <w:spacing w:val="0"/>
          <w:w w:val="100"/>
          <w:kern w:val="32"/>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spacing w:line="240" w:lineRule="auto"/>
        <w:ind w:firstLine="651"/>
        <w:textAlignment w:val="baseline"/>
        <w:rPr>
          <w:rFonts w:ascii="黑体" w:hAnsi="黑体" w:eastAsia="黑体" w:cs="黑体"/>
          <w:snapToGrid/>
          <w:spacing w:val="0"/>
          <w:w w:val="100"/>
          <w:kern w:val="32"/>
          <w:position w:val="0"/>
          <w:sz w:val="32"/>
          <w:szCs w:val="32"/>
        </w:rPr>
      </w:pPr>
      <w:r>
        <w:rPr>
          <w:rFonts w:ascii="黑体" w:hAnsi="黑体" w:eastAsia="黑体" w:cs="黑体"/>
          <w:snapToGrid/>
          <w:spacing w:val="0"/>
          <w:w w:val="100"/>
          <w:kern w:val="32"/>
          <w:position w:val="0"/>
          <w:sz w:val="32"/>
          <w:szCs w:val="32"/>
        </w:rPr>
        <w:t>二、金融支持措施（</w:t>
      </w:r>
      <w:r>
        <w:rPr>
          <w:rFonts w:ascii="Times New Roman" w:hAnsi="Times New Roman" w:eastAsia="Times New Roman" w:cs="Times New Roman"/>
          <w:snapToGrid/>
          <w:spacing w:val="0"/>
          <w:w w:val="100"/>
          <w:kern w:val="32"/>
          <w:position w:val="0"/>
          <w:sz w:val="32"/>
          <w:szCs w:val="32"/>
        </w:rPr>
        <w:t>6</w:t>
      </w:r>
      <w:r>
        <w:rPr>
          <w:rFonts w:ascii="黑体" w:hAnsi="黑体" w:eastAsia="黑体" w:cs="黑体"/>
          <w:snapToGrid/>
          <w:spacing w:val="0"/>
          <w:w w:val="100"/>
          <w:kern w:val="32"/>
          <w:position w:val="0"/>
          <w:sz w:val="32"/>
          <w:szCs w:val="32"/>
        </w:rPr>
        <w:t>项）</w:t>
      </w:r>
    </w:p>
    <w:p>
      <w:pPr>
        <w:keepNext w:val="0"/>
        <w:keepLines w:val="0"/>
        <w:pageBreakBefore w:val="0"/>
        <w:widowControl/>
        <w:kinsoku w:val="0"/>
        <w:wordWrap/>
        <w:overflowPunct/>
        <w:topLinePunct w:val="0"/>
        <w:autoSpaceDE w:val="0"/>
        <w:autoSpaceDN w:val="0"/>
        <w:bidi w:val="0"/>
        <w:adjustRightInd w:val="0"/>
        <w:snapToGrid/>
        <w:spacing w:line="240" w:lineRule="auto"/>
        <w:ind w:firstLine="649"/>
        <w:textAlignment w:val="baseline"/>
        <w:rPr>
          <w:rFonts w:hint="eastAsia" w:ascii="仿宋" w:hAnsi="仿宋" w:eastAsia="仿宋" w:cs="仿宋"/>
          <w:snapToGrid/>
          <w:spacing w:val="0"/>
          <w:w w:val="100"/>
          <w:kern w:val="32"/>
          <w:position w:val="0"/>
          <w:sz w:val="32"/>
          <w:szCs w:val="32"/>
          <w:lang w:eastAsia="zh-CN"/>
        </w:rPr>
      </w:pPr>
      <w:r>
        <w:rPr>
          <w:rFonts w:ascii="Times New Roman" w:hAnsi="Times New Roman" w:eastAsia="Times New Roman" w:cs="Times New Roman"/>
          <w:snapToGrid/>
          <w:spacing w:val="0"/>
          <w:w w:val="100"/>
          <w:kern w:val="32"/>
          <w:position w:val="0"/>
          <w:sz w:val="32"/>
          <w:szCs w:val="32"/>
        </w:rPr>
        <w:t xml:space="preserve">8. </w:t>
      </w:r>
      <w:r>
        <w:rPr>
          <w:rFonts w:ascii="楷体" w:hAnsi="楷体" w:eastAsia="楷体" w:cs="楷体"/>
          <w:snapToGrid/>
          <w:spacing w:val="0"/>
          <w:w w:val="100"/>
          <w:kern w:val="32"/>
          <w:position w:val="0"/>
          <w:sz w:val="32"/>
          <w:szCs w:val="32"/>
        </w:rPr>
        <w:t>实施还本付息政策应延尽延。</w:t>
      </w:r>
      <w:r>
        <w:rPr>
          <w:rFonts w:ascii="仿宋" w:hAnsi="仿宋" w:eastAsia="仿宋" w:cs="仿宋"/>
          <w:snapToGrid/>
          <w:spacing w:val="0"/>
          <w:w w:val="100"/>
          <w:kern w:val="32"/>
          <w:position w:val="0"/>
          <w:sz w:val="32"/>
          <w:szCs w:val="32"/>
        </w:rPr>
        <w:t>对中小微企业和个体工商户贷款、货车车贷、暂时遇困个人房贷消费贷，支持银行年内延期还本付息，银行机构要提前与客户自主协商</w:t>
      </w:r>
      <w:r>
        <w:rPr>
          <w:rFonts w:hint="eastAsia" w:ascii="仿宋" w:hAnsi="仿宋" w:eastAsia="仿宋" w:cs="仿宋"/>
          <w:snapToGrid/>
          <w:spacing w:val="0"/>
          <w:w w:val="100"/>
          <w:kern w:val="32"/>
          <w:position w:val="0"/>
          <w:sz w:val="32"/>
          <w:szCs w:val="32"/>
          <w:lang w:eastAsia="zh-CN"/>
        </w:rPr>
        <w:t>，</w:t>
      </w:r>
      <w:r>
        <w:rPr>
          <w:rFonts w:ascii="仿宋" w:hAnsi="仿宋" w:eastAsia="仿宋" w:cs="仿宋"/>
          <w:snapToGrid/>
          <w:spacing w:val="0"/>
          <w:w w:val="100"/>
          <w:kern w:val="32"/>
          <w:position w:val="0"/>
          <w:sz w:val="32"/>
          <w:szCs w:val="32"/>
        </w:rPr>
        <w:t>实施清单制管理，做到应延尽延，对延期贷款要坚持实质性风险判断</w:t>
      </w:r>
      <w:r>
        <w:rPr>
          <w:rFonts w:hint="eastAsia" w:ascii="仿宋" w:hAnsi="仿宋" w:eastAsia="仿宋" w:cs="仿宋"/>
          <w:snapToGrid/>
          <w:spacing w:val="0"/>
          <w:w w:val="100"/>
          <w:kern w:val="32"/>
          <w:position w:val="0"/>
          <w:sz w:val="32"/>
          <w:szCs w:val="32"/>
          <w:lang w:eastAsia="zh-CN"/>
        </w:rPr>
        <w:t>，</w:t>
      </w:r>
      <w:r>
        <w:rPr>
          <w:rFonts w:ascii="仿宋" w:hAnsi="仿宋" w:eastAsia="仿宋" w:cs="仿宋"/>
          <w:snapToGrid/>
          <w:spacing w:val="0"/>
          <w:w w:val="100"/>
          <w:kern w:val="32"/>
          <w:position w:val="0"/>
          <w:sz w:val="32"/>
          <w:szCs w:val="32"/>
        </w:rPr>
        <w:t>不单独因疫情因素下调贷款风险分类</w:t>
      </w:r>
      <w:r>
        <w:rPr>
          <w:rFonts w:hint="eastAsia" w:ascii="仿宋" w:hAnsi="仿宋" w:eastAsia="仿宋" w:cs="仿宋"/>
          <w:snapToGrid/>
          <w:spacing w:val="0"/>
          <w:w w:val="100"/>
          <w:kern w:val="32"/>
          <w:position w:val="0"/>
          <w:sz w:val="32"/>
          <w:szCs w:val="32"/>
          <w:lang w:eastAsia="zh-CN"/>
        </w:rPr>
        <w:t>，</w:t>
      </w:r>
      <w:r>
        <w:rPr>
          <w:rFonts w:ascii="仿宋" w:hAnsi="仿宋" w:eastAsia="仿宋" w:cs="仿宋"/>
          <w:snapToGrid/>
          <w:spacing w:val="0"/>
          <w:w w:val="100"/>
          <w:kern w:val="32"/>
          <w:position w:val="0"/>
          <w:sz w:val="32"/>
          <w:szCs w:val="32"/>
        </w:rPr>
        <w:t>免收罚息，不影响征信。用好无还本续贷、中期流动资金贷款、随借随还等</w:t>
      </w:r>
      <w:r>
        <w:rPr>
          <w:rFonts w:ascii="Times New Roman" w:hAnsi="Times New Roman" w:eastAsia="Times New Roman" w:cs="Times New Roman"/>
          <w:snapToGrid/>
          <w:spacing w:val="0"/>
          <w:w w:val="100"/>
          <w:kern w:val="32"/>
          <w:position w:val="0"/>
          <w:sz w:val="32"/>
          <w:szCs w:val="32"/>
        </w:rPr>
        <w:t>“</w:t>
      </w:r>
      <w:r>
        <w:rPr>
          <w:rFonts w:ascii="仿宋" w:hAnsi="仿宋" w:eastAsia="仿宋" w:cs="仿宋"/>
          <w:snapToGrid/>
          <w:spacing w:val="0"/>
          <w:w w:val="100"/>
          <w:kern w:val="32"/>
          <w:position w:val="0"/>
          <w:sz w:val="32"/>
          <w:szCs w:val="32"/>
        </w:rPr>
        <w:t>连续贷</w:t>
      </w:r>
      <w:r>
        <w:rPr>
          <w:rFonts w:ascii="Times New Roman" w:hAnsi="Times New Roman" w:eastAsia="Times New Roman" w:cs="Times New Roman"/>
          <w:snapToGrid/>
          <w:spacing w:val="0"/>
          <w:w w:val="100"/>
          <w:kern w:val="32"/>
          <w:position w:val="0"/>
          <w:sz w:val="32"/>
          <w:szCs w:val="32"/>
        </w:rPr>
        <w:t>+</w:t>
      </w:r>
      <w:r>
        <w:rPr>
          <w:rFonts w:ascii="仿宋" w:hAnsi="仿宋" w:eastAsia="仿宋" w:cs="仿宋"/>
          <w:snapToGrid/>
          <w:spacing w:val="0"/>
          <w:w w:val="100"/>
          <w:kern w:val="32"/>
          <w:position w:val="0"/>
          <w:sz w:val="32"/>
          <w:szCs w:val="32"/>
        </w:rPr>
        <w:t>灵活贷</w:t>
      </w:r>
      <w:r>
        <w:rPr>
          <w:rFonts w:ascii="Times New Roman" w:hAnsi="Times New Roman" w:eastAsia="Times New Roman" w:cs="Times New Roman"/>
          <w:snapToGrid/>
          <w:spacing w:val="0"/>
          <w:w w:val="100"/>
          <w:kern w:val="32"/>
          <w:position w:val="0"/>
          <w:sz w:val="32"/>
          <w:szCs w:val="32"/>
        </w:rPr>
        <w:t xml:space="preserve">” </w:t>
      </w:r>
      <w:r>
        <w:rPr>
          <w:rFonts w:ascii="仿宋" w:hAnsi="仿宋" w:eastAsia="仿宋" w:cs="仿宋"/>
          <w:snapToGrid/>
          <w:spacing w:val="0"/>
          <w:w w:val="100"/>
          <w:kern w:val="32"/>
          <w:position w:val="0"/>
          <w:sz w:val="32"/>
          <w:szCs w:val="32"/>
        </w:rPr>
        <w:t>贷款模式，对符合续贷条件的企业，做到应续尽续。引导银行机构保持信贷适度增长，加快已授信贷款的放款进度，支持银行机构对照复工达产</w:t>
      </w:r>
      <w:r>
        <w:rPr>
          <w:rFonts w:ascii="Times New Roman" w:hAnsi="Times New Roman" w:eastAsia="Times New Roman" w:cs="Times New Roman"/>
          <w:snapToGrid/>
          <w:spacing w:val="0"/>
          <w:w w:val="100"/>
          <w:kern w:val="32"/>
          <w:position w:val="0"/>
          <w:sz w:val="32"/>
          <w:szCs w:val="32"/>
        </w:rPr>
        <w:t>“</w:t>
      </w:r>
      <w:r>
        <w:rPr>
          <w:rFonts w:ascii="仿宋" w:hAnsi="仿宋" w:eastAsia="仿宋" w:cs="仿宋"/>
          <w:snapToGrid/>
          <w:spacing w:val="0"/>
          <w:w w:val="100"/>
          <w:kern w:val="32"/>
          <w:position w:val="0"/>
          <w:sz w:val="32"/>
          <w:szCs w:val="32"/>
        </w:rPr>
        <w:t>白名单</w:t>
      </w:r>
      <w:r>
        <w:rPr>
          <w:rFonts w:ascii="Times New Roman" w:hAnsi="Times New Roman" w:eastAsia="Times New Roman" w:cs="Times New Roman"/>
          <w:snapToGrid/>
          <w:spacing w:val="0"/>
          <w:w w:val="100"/>
          <w:kern w:val="32"/>
          <w:position w:val="0"/>
          <w:sz w:val="32"/>
          <w:szCs w:val="32"/>
        </w:rPr>
        <w:t>”</w:t>
      </w:r>
      <w:r>
        <w:rPr>
          <w:rFonts w:ascii="仿宋" w:hAnsi="仿宋" w:eastAsia="仿宋" w:cs="仿宋"/>
          <w:snapToGrid/>
          <w:spacing w:val="0"/>
          <w:w w:val="100"/>
          <w:kern w:val="32"/>
          <w:position w:val="0"/>
          <w:sz w:val="32"/>
          <w:szCs w:val="32"/>
        </w:rPr>
        <w:t>企业清单，全面梳理排查清单内企业贷款到期情况，逐户明确信贷支持方案，根据企业复工达产时间提前安排信贷额度，对符合条件的企业原则上要应续尽续、应贷尽贷、快速放贷。用好银行业联合会商帮扶机制。</w:t>
      </w:r>
      <w:r>
        <w:rPr>
          <w:rFonts w:hint="eastAsia" w:ascii="仿宋" w:hAnsi="仿宋" w:eastAsia="仿宋" w:cs="仿宋"/>
          <w:snapToGrid/>
          <w:spacing w:val="0"/>
          <w:w w:val="100"/>
          <w:kern w:val="32"/>
          <w:position w:val="0"/>
          <w:sz w:val="32"/>
          <w:szCs w:val="32"/>
          <w:lang w:eastAsia="zh-CN"/>
        </w:rPr>
        <w:t>（</w:t>
      </w:r>
      <w:r>
        <w:rPr>
          <w:rFonts w:hint="eastAsia" w:ascii="仿宋" w:hAnsi="仿宋" w:eastAsia="仿宋" w:cs="仿宋"/>
          <w:snapToGrid/>
          <w:spacing w:val="0"/>
          <w:w w:val="100"/>
          <w:kern w:val="32"/>
          <w:position w:val="0"/>
          <w:sz w:val="32"/>
          <w:szCs w:val="32"/>
          <w:lang w:val="en-US" w:eastAsia="zh-CN"/>
        </w:rPr>
        <w:t>责任单位：</w:t>
      </w:r>
      <w:r>
        <w:rPr>
          <w:rFonts w:hint="eastAsia" w:ascii="仿宋" w:hAnsi="仿宋" w:eastAsia="仿宋" w:cs="仿宋"/>
          <w:snapToGrid/>
          <w:color w:val="FF0000"/>
          <w:spacing w:val="0"/>
          <w:w w:val="100"/>
          <w:kern w:val="32"/>
          <w:position w:val="0"/>
          <w:sz w:val="32"/>
          <w:szCs w:val="32"/>
          <w:lang w:val="en-US" w:eastAsia="zh-CN"/>
        </w:rPr>
        <w:t>人行苍南县支行</w:t>
      </w:r>
      <w:r>
        <w:rPr>
          <w:rFonts w:hint="eastAsia" w:ascii="仿宋" w:hAnsi="仿宋" w:eastAsia="仿宋" w:cs="仿宋"/>
          <w:snapToGrid/>
          <w:spacing w:val="0"/>
          <w:w w:val="100"/>
          <w:kern w:val="32"/>
          <w:position w:val="0"/>
          <w:sz w:val="32"/>
          <w:szCs w:val="32"/>
          <w:lang w:val="en-US" w:eastAsia="zh-CN"/>
        </w:rPr>
        <w:t>、市经发局-经信口、商贸口、金融口、市社会事业局</w:t>
      </w:r>
      <w:r>
        <w:rPr>
          <w:rFonts w:hint="eastAsia" w:ascii="仿宋" w:hAnsi="仿宋" w:eastAsia="仿宋" w:cs="仿宋"/>
          <w:snapToGrid/>
          <w:spacing w:val="0"/>
          <w:w w:val="100"/>
          <w:kern w:val="32"/>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spacing w:line="240" w:lineRule="auto"/>
        <w:ind w:firstLine="649"/>
        <w:textAlignment w:val="baseline"/>
        <w:rPr>
          <w:rFonts w:hint="eastAsia" w:ascii="仿宋" w:hAnsi="仿宋" w:eastAsia="仿宋" w:cs="仿宋"/>
          <w:snapToGrid/>
          <w:spacing w:val="0"/>
          <w:w w:val="100"/>
          <w:kern w:val="32"/>
          <w:position w:val="0"/>
          <w:sz w:val="32"/>
          <w:szCs w:val="32"/>
          <w:lang w:eastAsia="zh-CN"/>
        </w:rPr>
      </w:pPr>
      <w:r>
        <w:rPr>
          <w:rFonts w:ascii="Times New Roman" w:hAnsi="Times New Roman" w:eastAsia="Times New Roman" w:cs="Times New Roman"/>
          <w:snapToGrid/>
          <w:spacing w:val="0"/>
          <w:w w:val="100"/>
          <w:kern w:val="32"/>
          <w:position w:val="0"/>
          <w:sz w:val="32"/>
          <w:szCs w:val="32"/>
        </w:rPr>
        <w:t>9.</w:t>
      </w:r>
      <w:r>
        <w:rPr>
          <w:rFonts w:ascii="楷体" w:hAnsi="楷体" w:eastAsia="楷体" w:cs="楷体"/>
          <w:snapToGrid/>
          <w:spacing w:val="0"/>
          <w:w w:val="100"/>
          <w:kern w:val="32"/>
          <w:position w:val="0"/>
          <w:sz w:val="32"/>
          <w:szCs w:val="32"/>
        </w:rPr>
        <w:t>加大对普惠小微贷款支持力度。</w:t>
      </w:r>
      <w:r>
        <w:rPr>
          <w:rFonts w:ascii="仿宋" w:hAnsi="仿宋" w:eastAsia="仿宋" w:cs="仿宋"/>
          <w:snapToGrid/>
          <w:spacing w:val="0"/>
          <w:w w:val="100"/>
          <w:kern w:val="32"/>
          <w:position w:val="0"/>
          <w:sz w:val="32"/>
          <w:szCs w:val="32"/>
        </w:rPr>
        <w:t>落实普惠小微贷款支持工具的资金支持比例由</w:t>
      </w:r>
      <w:r>
        <w:rPr>
          <w:rFonts w:ascii="Times New Roman" w:hAnsi="Times New Roman" w:eastAsia="Times New Roman" w:cs="Times New Roman"/>
          <w:snapToGrid/>
          <w:spacing w:val="0"/>
          <w:w w:val="100"/>
          <w:kern w:val="32"/>
          <w:position w:val="0"/>
          <w:sz w:val="32"/>
          <w:szCs w:val="32"/>
        </w:rPr>
        <w:t>1%</w:t>
      </w:r>
      <w:r>
        <w:rPr>
          <w:rFonts w:ascii="仿宋" w:hAnsi="仿宋" w:eastAsia="仿宋" w:cs="仿宋"/>
          <w:snapToGrid/>
          <w:spacing w:val="0"/>
          <w:w w:val="100"/>
          <w:kern w:val="32"/>
          <w:position w:val="0"/>
          <w:sz w:val="32"/>
          <w:szCs w:val="32"/>
        </w:rPr>
        <w:t>提高至</w:t>
      </w:r>
      <w:r>
        <w:rPr>
          <w:rFonts w:ascii="Times New Roman" w:hAnsi="Times New Roman" w:eastAsia="Times New Roman" w:cs="Times New Roman"/>
          <w:snapToGrid/>
          <w:spacing w:val="0"/>
          <w:w w:val="100"/>
          <w:kern w:val="32"/>
          <w:position w:val="0"/>
          <w:sz w:val="32"/>
          <w:szCs w:val="32"/>
        </w:rPr>
        <w:t>2%</w:t>
      </w:r>
      <w:r>
        <w:rPr>
          <w:rFonts w:ascii="仿宋" w:hAnsi="仿宋" w:eastAsia="仿宋" w:cs="仿宋"/>
          <w:snapToGrid/>
          <w:spacing w:val="0"/>
          <w:w w:val="100"/>
          <w:kern w:val="32"/>
          <w:position w:val="0"/>
          <w:sz w:val="32"/>
          <w:szCs w:val="32"/>
        </w:rPr>
        <w:t>的措施，指导金融机构争取更大额度普惠小微贷款支持工具落地。指导金融机构、国有企业和产业链供应链核心企业支持小微企业应收账款质押、保理等融资，以供应链融资和政银企合作支持大中小微企业融通发展。加大科技型企业信贷支持力度，推广应用</w:t>
      </w:r>
      <w:r>
        <w:rPr>
          <w:rFonts w:ascii="Times New Roman" w:hAnsi="Times New Roman" w:eastAsia="Times New Roman" w:cs="Times New Roman"/>
          <w:snapToGrid/>
          <w:spacing w:val="0"/>
          <w:w w:val="100"/>
          <w:kern w:val="32"/>
          <w:position w:val="0"/>
          <w:sz w:val="32"/>
          <w:szCs w:val="32"/>
        </w:rPr>
        <w:t>“</w:t>
      </w:r>
      <w:r>
        <w:rPr>
          <w:rFonts w:ascii="仿宋" w:hAnsi="仿宋" w:eastAsia="仿宋" w:cs="仿宋"/>
          <w:snapToGrid/>
          <w:spacing w:val="0"/>
          <w:w w:val="100"/>
          <w:kern w:val="32"/>
          <w:position w:val="0"/>
          <w:sz w:val="32"/>
          <w:szCs w:val="32"/>
        </w:rPr>
        <w:t>科创指数</w:t>
      </w:r>
      <w:r>
        <w:rPr>
          <w:rFonts w:ascii="Times New Roman" w:hAnsi="Times New Roman" w:eastAsia="Times New Roman" w:cs="Times New Roman"/>
          <w:snapToGrid/>
          <w:spacing w:val="0"/>
          <w:w w:val="100"/>
          <w:kern w:val="32"/>
          <w:position w:val="0"/>
          <w:sz w:val="32"/>
          <w:szCs w:val="32"/>
        </w:rPr>
        <w:t xml:space="preserve">” </w:t>
      </w:r>
      <w:r>
        <w:rPr>
          <w:rFonts w:ascii="仿宋" w:hAnsi="仿宋" w:eastAsia="仿宋" w:cs="仿宋"/>
          <w:snapToGrid/>
          <w:spacing w:val="0"/>
          <w:w w:val="100"/>
          <w:kern w:val="32"/>
          <w:position w:val="0"/>
          <w:sz w:val="32"/>
          <w:szCs w:val="32"/>
        </w:rPr>
        <w:t>融资模式，支持银行机构向科技型企业发放</w:t>
      </w:r>
      <w:r>
        <w:rPr>
          <w:rFonts w:ascii="Times New Roman" w:hAnsi="Times New Roman" w:eastAsia="Times New Roman" w:cs="Times New Roman"/>
          <w:snapToGrid/>
          <w:spacing w:val="0"/>
          <w:w w:val="100"/>
          <w:kern w:val="32"/>
          <w:position w:val="0"/>
          <w:sz w:val="32"/>
          <w:szCs w:val="32"/>
        </w:rPr>
        <w:t xml:space="preserve">“ </w:t>
      </w:r>
      <w:r>
        <w:rPr>
          <w:rFonts w:ascii="仿宋" w:hAnsi="仿宋" w:eastAsia="仿宋" w:cs="仿宋"/>
          <w:snapToGrid/>
          <w:spacing w:val="0"/>
          <w:w w:val="100"/>
          <w:kern w:val="32"/>
          <w:position w:val="0"/>
          <w:sz w:val="32"/>
          <w:szCs w:val="32"/>
        </w:rPr>
        <w:t>无抵押贷款</w:t>
      </w:r>
      <w:r>
        <w:rPr>
          <w:rFonts w:ascii="Times New Roman" w:hAnsi="Times New Roman" w:eastAsia="Times New Roman" w:cs="Times New Roman"/>
          <w:snapToGrid/>
          <w:spacing w:val="0"/>
          <w:w w:val="100"/>
          <w:kern w:val="32"/>
          <w:position w:val="0"/>
          <w:sz w:val="32"/>
          <w:szCs w:val="32"/>
        </w:rPr>
        <w:t>”</w:t>
      </w:r>
      <w:r>
        <w:rPr>
          <w:rFonts w:ascii="仿宋" w:hAnsi="仿宋" w:eastAsia="仿宋" w:cs="仿宋"/>
          <w:snapToGrid/>
          <w:spacing w:val="0"/>
          <w:w w:val="100"/>
          <w:kern w:val="32"/>
          <w:position w:val="0"/>
          <w:sz w:val="32"/>
          <w:szCs w:val="32"/>
        </w:rPr>
        <w:t>，力争</w:t>
      </w:r>
      <w:r>
        <w:rPr>
          <w:rFonts w:ascii="Times New Roman" w:hAnsi="Times New Roman" w:eastAsia="Times New Roman" w:cs="Times New Roman"/>
          <w:snapToGrid/>
          <w:spacing w:val="0"/>
          <w:w w:val="100"/>
          <w:kern w:val="32"/>
          <w:position w:val="0"/>
          <w:sz w:val="32"/>
          <w:szCs w:val="32"/>
        </w:rPr>
        <w:t>2022</w:t>
      </w:r>
      <w:r>
        <w:rPr>
          <w:rFonts w:ascii="仿宋" w:hAnsi="仿宋" w:eastAsia="仿宋" w:cs="仿宋"/>
          <w:snapToGrid/>
          <w:spacing w:val="0"/>
          <w:w w:val="100"/>
          <w:kern w:val="32"/>
          <w:position w:val="0"/>
          <w:sz w:val="32"/>
          <w:szCs w:val="32"/>
        </w:rPr>
        <w:t>年末</w:t>
      </w:r>
      <w:r>
        <w:rPr>
          <w:rFonts w:ascii="Times New Roman" w:hAnsi="Times New Roman" w:eastAsia="Times New Roman" w:cs="Times New Roman"/>
          <w:snapToGrid/>
          <w:spacing w:val="0"/>
          <w:w w:val="100"/>
          <w:kern w:val="32"/>
          <w:position w:val="0"/>
          <w:sz w:val="32"/>
          <w:szCs w:val="32"/>
        </w:rPr>
        <w:t>“</w:t>
      </w:r>
      <w:r>
        <w:rPr>
          <w:rFonts w:ascii="仿宋" w:hAnsi="仿宋" w:eastAsia="仿宋" w:cs="仿宋"/>
          <w:snapToGrid/>
          <w:spacing w:val="0"/>
          <w:w w:val="100"/>
          <w:kern w:val="32"/>
          <w:position w:val="0"/>
          <w:sz w:val="32"/>
          <w:szCs w:val="32"/>
        </w:rPr>
        <w:t>科创指数</w:t>
      </w:r>
      <w:r>
        <w:rPr>
          <w:rFonts w:ascii="Times New Roman" w:hAnsi="Times New Roman" w:eastAsia="Times New Roman" w:cs="Times New Roman"/>
          <w:snapToGrid/>
          <w:spacing w:val="0"/>
          <w:w w:val="100"/>
          <w:kern w:val="32"/>
          <w:position w:val="0"/>
          <w:sz w:val="32"/>
          <w:szCs w:val="32"/>
        </w:rPr>
        <w:t>”</w:t>
      </w:r>
      <w:r>
        <w:rPr>
          <w:rFonts w:ascii="仿宋" w:hAnsi="仿宋" w:eastAsia="仿宋" w:cs="仿宋"/>
          <w:snapToGrid/>
          <w:spacing w:val="0"/>
          <w:w w:val="100"/>
          <w:kern w:val="32"/>
          <w:position w:val="0"/>
          <w:sz w:val="32"/>
          <w:szCs w:val="32"/>
        </w:rPr>
        <w:t>融资模式授信超</w:t>
      </w:r>
      <w:r>
        <w:rPr>
          <w:rFonts w:hint="eastAsia" w:ascii="仿宋" w:hAnsi="仿宋" w:eastAsia="仿宋" w:cs="仿宋"/>
          <w:snapToGrid/>
          <w:spacing w:val="0"/>
          <w:w w:val="100"/>
          <w:kern w:val="32"/>
          <w:position w:val="0"/>
          <w:sz w:val="32"/>
          <w:szCs w:val="32"/>
          <w:lang w:val="en-US" w:eastAsia="zh-CN"/>
        </w:rPr>
        <w:t>1</w:t>
      </w:r>
      <w:r>
        <w:rPr>
          <w:rFonts w:ascii="仿宋" w:hAnsi="仿宋" w:eastAsia="仿宋" w:cs="仿宋"/>
          <w:snapToGrid/>
          <w:spacing w:val="0"/>
          <w:w w:val="100"/>
          <w:kern w:val="32"/>
          <w:position w:val="0"/>
          <w:sz w:val="32"/>
          <w:szCs w:val="32"/>
        </w:rPr>
        <w:t>万户。继续推广小微企业、个体工商户和农民资产授托融资做法。充分发挥小微主体金融服务站、共富金融专员、金融联络员等机制，组织开展银企对接走访活动。</w:t>
      </w:r>
      <w:r>
        <w:rPr>
          <w:rFonts w:hint="eastAsia" w:ascii="仿宋" w:hAnsi="仿宋" w:eastAsia="仿宋" w:cs="仿宋"/>
          <w:snapToGrid/>
          <w:spacing w:val="0"/>
          <w:w w:val="100"/>
          <w:kern w:val="32"/>
          <w:position w:val="0"/>
          <w:sz w:val="32"/>
          <w:szCs w:val="32"/>
          <w:lang w:eastAsia="zh-CN"/>
        </w:rPr>
        <w:t>（</w:t>
      </w:r>
      <w:r>
        <w:rPr>
          <w:rFonts w:hint="eastAsia" w:ascii="仿宋" w:hAnsi="仿宋" w:eastAsia="仿宋" w:cs="仿宋"/>
          <w:snapToGrid/>
          <w:spacing w:val="0"/>
          <w:w w:val="100"/>
          <w:kern w:val="32"/>
          <w:position w:val="0"/>
          <w:sz w:val="32"/>
          <w:szCs w:val="32"/>
          <w:lang w:val="en-US" w:eastAsia="zh-CN"/>
        </w:rPr>
        <w:t>责任单位：</w:t>
      </w:r>
      <w:r>
        <w:rPr>
          <w:rFonts w:hint="eastAsia" w:ascii="仿宋" w:hAnsi="仿宋" w:eastAsia="仿宋" w:cs="仿宋"/>
          <w:snapToGrid/>
          <w:color w:val="FF0000"/>
          <w:spacing w:val="0"/>
          <w:w w:val="100"/>
          <w:kern w:val="32"/>
          <w:position w:val="0"/>
          <w:sz w:val="32"/>
          <w:szCs w:val="32"/>
          <w:lang w:val="en-US" w:eastAsia="zh-CN"/>
        </w:rPr>
        <w:t>人行苍南县支行</w:t>
      </w:r>
      <w:r>
        <w:rPr>
          <w:rFonts w:hint="eastAsia" w:ascii="仿宋" w:hAnsi="仿宋" w:eastAsia="仿宋" w:cs="仿宋"/>
          <w:snapToGrid/>
          <w:spacing w:val="0"/>
          <w:w w:val="100"/>
          <w:kern w:val="32"/>
          <w:position w:val="0"/>
          <w:sz w:val="32"/>
          <w:szCs w:val="32"/>
          <w:lang w:val="en-US" w:eastAsia="zh-CN"/>
        </w:rPr>
        <w:t>、市经发局-经信口、科技口、金融口、市财政局、市国有资本运营公司、市市场监督管理局</w:t>
      </w:r>
      <w:r>
        <w:rPr>
          <w:rFonts w:hint="eastAsia" w:ascii="仿宋" w:hAnsi="仿宋" w:eastAsia="仿宋" w:cs="仿宋"/>
          <w:snapToGrid/>
          <w:spacing w:val="0"/>
          <w:w w:val="100"/>
          <w:kern w:val="32"/>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spacing w:line="240" w:lineRule="auto"/>
        <w:ind w:firstLine="649"/>
        <w:textAlignment w:val="baseline"/>
        <w:rPr>
          <w:rFonts w:hint="eastAsia" w:ascii="仿宋" w:hAnsi="仿宋" w:eastAsia="仿宋" w:cs="仿宋"/>
          <w:snapToGrid/>
          <w:spacing w:val="0"/>
          <w:w w:val="100"/>
          <w:kern w:val="32"/>
          <w:position w:val="0"/>
          <w:sz w:val="32"/>
          <w:szCs w:val="32"/>
          <w:lang w:eastAsia="zh-CN"/>
        </w:rPr>
      </w:pPr>
      <w:r>
        <w:rPr>
          <w:rFonts w:ascii="Times New Roman" w:hAnsi="Times New Roman" w:eastAsia="Times New Roman" w:cs="Times New Roman"/>
          <w:snapToGrid/>
          <w:spacing w:val="0"/>
          <w:w w:val="100"/>
          <w:kern w:val="32"/>
          <w:position w:val="0"/>
          <w:sz w:val="32"/>
          <w:szCs w:val="32"/>
        </w:rPr>
        <w:t>10.</w:t>
      </w:r>
      <w:r>
        <w:rPr>
          <w:rFonts w:ascii="楷体" w:hAnsi="楷体" w:eastAsia="楷体" w:cs="楷体"/>
          <w:snapToGrid/>
          <w:spacing w:val="0"/>
          <w:w w:val="100"/>
          <w:kern w:val="32"/>
          <w:position w:val="0"/>
          <w:sz w:val="32"/>
          <w:szCs w:val="32"/>
        </w:rPr>
        <w:t>继续推动综合融资成本稳中有降。</w:t>
      </w:r>
      <w:r>
        <w:rPr>
          <w:rFonts w:ascii="仿宋" w:hAnsi="仿宋" w:eastAsia="仿宋" w:cs="仿宋"/>
          <w:snapToGrid/>
          <w:spacing w:val="0"/>
          <w:w w:val="100"/>
          <w:kern w:val="32"/>
          <w:position w:val="0"/>
          <w:sz w:val="32"/>
          <w:szCs w:val="32"/>
        </w:rPr>
        <w:t>指导金融机构用足用好央行货币政策工具，争取更大额度低成本资金投向我市，直达经济社会发展重点领域和薄弱环节。推动金融机构进一步加大让利力度，主动降低贷款利率，应免尽免、应减尽减各类手续费。充分运用证监会</w:t>
      </w:r>
      <w:r>
        <w:rPr>
          <w:rFonts w:ascii="Times New Roman" w:hAnsi="Times New Roman" w:eastAsia="Times New Roman" w:cs="Times New Roman"/>
          <w:snapToGrid/>
          <w:spacing w:val="0"/>
          <w:w w:val="100"/>
          <w:kern w:val="32"/>
          <w:position w:val="0"/>
          <w:sz w:val="32"/>
          <w:szCs w:val="32"/>
        </w:rPr>
        <w:t xml:space="preserve">“ </w:t>
      </w:r>
      <w:r>
        <w:rPr>
          <w:rFonts w:ascii="仿宋" w:hAnsi="仿宋" w:eastAsia="仿宋" w:cs="仿宋"/>
          <w:snapToGrid/>
          <w:spacing w:val="0"/>
          <w:w w:val="100"/>
          <w:kern w:val="32"/>
          <w:position w:val="0"/>
          <w:sz w:val="32"/>
          <w:szCs w:val="32"/>
        </w:rPr>
        <w:t>专人对接、即报即审、审过即发</w:t>
      </w:r>
      <w:r>
        <w:rPr>
          <w:rFonts w:ascii="Times New Roman" w:hAnsi="Times New Roman" w:eastAsia="Times New Roman" w:cs="Times New Roman"/>
          <w:snapToGrid/>
          <w:spacing w:val="0"/>
          <w:w w:val="100"/>
          <w:kern w:val="32"/>
          <w:position w:val="0"/>
          <w:sz w:val="32"/>
          <w:szCs w:val="32"/>
        </w:rPr>
        <w:t xml:space="preserve">” </w:t>
      </w:r>
      <w:r>
        <w:rPr>
          <w:rFonts w:ascii="仿宋" w:hAnsi="仿宋" w:eastAsia="仿宋" w:cs="仿宋"/>
          <w:snapToGrid/>
          <w:spacing w:val="0"/>
          <w:w w:val="100"/>
          <w:kern w:val="32"/>
          <w:position w:val="0"/>
          <w:sz w:val="32"/>
          <w:szCs w:val="32"/>
        </w:rPr>
        <w:t>等专项机制，用好银行间市场和交易所发债绿色通道，实现低成本快速化直接融资。鼓励山区五县国资平台通过整合资产提升评级水平，加快企业债券申报发行，降低长期直接融资成本。加大担保降费力度，市级政府性融资担保机构</w:t>
      </w:r>
      <w:r>
        <w:rPr>
          <w:rFonts w:ascii="Times New Roman" w:hAnsi="Times New Roman" w:eastAsia="Times New Roman" w:cs="Times New Roman"/>
          <w:snapToGrid/>
          <w:spacing w:val="0"/>
          <w:w w:val="100"/>
          <w:kern w:val="32"/>
          <w:position w:val="0"/>
          <w:sz w:val="32"/>
          <w:szCs w:val="32"/>
        </w:rPr>
        <w:t>2022</w:t>
      </w:r>
      <w:r>
        <w:rPr>
          <w:rFonts w:ascii="仿宋" w:hAnsi="仿宋" w:eastAsia="仿宋" w:cs="仿宋"/>
          <w:snapToGrid/>
          <w:spacing w:val="0"/>
          <w:w w:val="100"/>
          <w:kern w:val="32"/>
          <w:position w:val="0"/>
          <w:sz w:val="32"/>
          <w:szCs w:val="32"/>
        </w:rPr>
        <w:t>年平均担保费率在</w:t>
      </w:r>
      <w:r>
        <w:rPr>
          <w:rFonts w:ascii="Times New Roman" w:hAnsi="Times New Roman" w:eastAsia="Times New Roman" w:cs="Times New Roman"/>
          <w:snapToGrid/>
          <w:spacing w:val="0"/>
          <w:w w:val="100"/>
          <w:kern w:val="32"/>
          <w:position w:val="0"/>
          <w:sz w:val="32"/>
          <w:szCs w:val="32"/>
        </w:rPr>
        <w:t>2021</w:t>
      </w:r>
      <w:r>
        <w:rPr>
          <w:rFonts w:ascii="仿宋" w:hAnsi="仿宋" w:eastAsia="仿宋" w:cs="仿宋"/>
          <w:snapToGrid/>
          <w:spacing w:val="0"/>
          <w:w w:val="100"/>
          <w:kern w:val="32"/>
          <w:position w:val="0"/>
          <w:sz w:val="32"/>
          <w:szCs w:val="32"/>
        </w:rPr>
        <w:t>年基础上下降</w:t>
      </w:r>
      <w:r>
        <w:rPr>
          <w:rFonts w:ascii="Times New Roman" w:hAnsi="Times New Roman" w:eastAsia="Times New Roman" w:cs="Times New Roman"/>
          <w:snapToGrid/>
          <w:spacing w:val="0"/>
          <w:w w:val="100"/>
          <w:kern w:val="32"/>
          <w:position w:val="0"/>
          <w:sz w:val="32"/>
          <w:szCs w:val="32"/>
        </w:rPr>
        <w:t>20%</w:t>
      </w:r>
      <w:r>
        <w:rPr>
          <w:rFonts w:ascii="仿宋" w:hAnsi="仿宋" w:eastAsia="仿宋" w:cs="仿宋"/>
          <w:snapToGrid/>
          <w:spacing w:val="0"/>
          <w:w w:val="100"/>
          <w:kern w:val="32"/>
          <w:position w:val="0"/>
          <w:sz w:val="32"/>
          <w:szCs w:val="32"/>
        </w:rPr>
        <w:t>。政府性融资担保机构在保持平均担保费率不高于</w:t>
      </w:r>
      <w:r>
        <w:rPr>
          <w:rFonts w:ascii="Times New Roman" w:hAnsi="Times New Roman" w:eastAsia="Times New Roman" w:cs="Times New Roman"/>
          <w:snapToGrid/>
          <w:spacing w:val="0"/>
          <w:w w:val="100"/>
          <w:kern w:val="32"/>
          <w:position w:val="0"/>
          <w:sz w:val="32"/>
          <w:szCs w:val="32"/>
        </w:rPr>
        <w:t>1%</w:t>
      </w:r>
      <w:r>
        <w:rPr>
          <w:rFonts w:ascii="仿宋" w:hAnsi="仿宋" w:eastAsia="仿宋" w:cs="仿宋"/>
          <w:snapToGrid/>
          <w:spacing w:val="0"/>
          <w:w w:val="100"/>
          <w:kern w:val="32"/>
          <w:position w:val="0"/>
          <w:sz w:val="32"/>
          <w:szCs w:val="32"/>
        </w:rPr>
        <w:t>的基础上，对中小微市场主体给予优惠倾斜。积极争取科技创新再贷款，加快科技型企业奖补政策兑现进度。推动有条件的地方对支小支农担保业务保费给予阶段性补贴。切实发挥企业应急转贷资金的作用，为暂时困难企业提供转贷支持，重点支持受疫情影响困难企业</w:t>
      </w:r>
      <w:r>
        <w:rPr>
          <w:rFonts w:ascii="Times New Roman" w:hAnsi="Times New Roman" w:eastAsia="Times New Roman" w:cs="Times New Roman"/>
          <w:snapToGrid/>
          <w:spacing w:val="0"/>
          <w:w w:val="100"/>
          <w:kern w:val="32"/>
          <w:position w:val="0"/>
          <w:sz w:val="32"/>
          <w:szCs w:val="32"/>
        </w:rPr>
        <w:t xml:space="preserve">“ </w:t>
      </w:r>
      <w:r>
        <w:rPr>
          <w:rFonts w:ascii="仿宋" w:hAnsi="仿宋" w:eastAsia="仿宋" w:cs="仿宋"/>
          <w:snapToGrid/>
          <w:spacing w:val="0"/>
          <w:w w:val="100"/>
          <w:kern w:val="32"/>
          <w:position w:val="0"/>
          <w:sz w:val="32"/>
          <w:szCs w:val="32"/>
        </w:rPr>
        <w:t>过桥</w:t>
      </w:r>
      <w:r>
        <w:rPr>
          <w:rFonts w:ascii="Times New Roman" w:hAnsi="Times New Roman" w:eastAsia="Times New Roman" w:cs="Times New Roman"/>
          <w:snapToGrid/>
          <w:spacing w:val="0"/>
          <w:w w:val="100"/>
          <w:kern w:val="32"/>
          <w:position w:val="0"/>
          <w:sz w:val="32"/>
          <w:szCs w:val="32"/>
        </w:rPr>
        <w:t xml:space="preserve">” </w:t>
      </w:r>
      <w:r>
        <w:rPr>
          <w:rFonts w:ascii="仿宋" w:hAnsi="仿宋" w:eastAsia="仿宋" w:cs="仿宋"/>
          <w:snapToGrid/>
          <w:spacing w:val="0"/>
          <w:w w:val="100"/>
          <w:kern w:val="32"/>
          <w:position w:val="0"/>
          <w:sz w:val="32"/>
          <w:szCs w:val="32"/>
        </w:rPr>
        <w:t>转贷，实行即办制，</w:t>
      </w:r>
      <w:r>
        <w:rPr>
          <w:rFonts w:ascii="Times New Roman" w:hAnsi="Times New Roman" w:eastAsia="Times New Roman" w:cs="Times New Roman"/>
          <w:snapToGrid/>
          <w:spacing w:val="0"/>
          <w:w w:val="100"/>
          <w:kern w:val="32"/>
          <w:position w:val="0"/>
          <w:sz w:val="32"/>
          <w:szCs w:val="32"/>
        </w:rPr>
        <w:t>2022</w:t>
      </w:r>
      <w:r>
        <w:rPr>
          <w:rFonts w:ascii="仿宋" w:hAnsi="仿宋" w:eastAsia="仿宋" w:cs="仿宋"/>
          <w:snapToGrid/>
          <w:spacing w:val="0"/>
          <w:w w:val="100"/>
          <w:kern w:val="32"/>
          <w:position w:val="0"/>
          <w:sz w:val="32"/>
          <w:szCs w:val="32"/>
        </w:rPr>
        <w:t>年转贷费用按同期</w:t>
      </w:r>
      <w:r>
        <w:rPr>
          <w:rFonts w:ascii="Times New Roman" w:hAnsi="Times New Roman" w:eastAsia="Times New Roman" w:cs="Times New Roman"/>
          <w:snapToGrid/>
          <w:spacing w:val="0"/>
          <w:w w:val="100"/>
          <w:kern w:val="32"/>
          <w:position w:val="0"/>
          <w:sz w:val="32"/>
          <w:szCs w:val="32"/>
        </w:rPr>
        <w:t>LPR</w:t>
      </w:r>
      <w:r>
        <w:rPr>
          <w:rFonts w:ascii="仿宋" w:hAnsi="仿宋" w:eastAsia="仿宋" w:cs="仿宋"/>
          <w:snapToGrid/>
          <w:spacing w:val="0"/>
          <w:w w:val="100"/>
          <w:kern w:val="32"/>
          <w:position w:val="0"/>
          <w:sz w:val="32"/>
          <w:szCs w:val="32"/>
        </w:rPr>
        <w:t>下浮</w:t>
      </w:r>
      <w:r>
        <w:rPr>
          <w:rFonts w:ascii="Times New Roman" w:hAnsi="Times New Roman" w:eastAsia="Times New Roman" w:cs="Times New Roman"/>
          <w:snapToGrid/>
          <w:spacing w:val="0"/>
          <w:w w:val="100"/>
          <w:kern w:val="32"/>
          <w:position w:val="0"/>
          <w:sz w:val="32"/>
          <w:szCs w:val="32"/>
        </w:rPr>
        <w:t>20%</w:t>
      </w:r>
      <w:r>
        <w:rPr>
          <w:rFonts w:ascii="仿宋" w:hAnsi="仿宋" w:eastAsia="仿宋" w:cs="仿宋"/>
          <w:snapToGrid/>
          <w:spacing w:val="0"/>
          <w:w w:val="100"/>
          <w:kern w:val="32"/>
          <w:position w:val="0"/>
          <w:sz w:val="32"/>
          <w:szCs w:val="32"/>
        </w:rPr>
        <w:t>。</w:t>
      </w:r>
      <w:r>
        <w:rPr>
          <w:rFonts w:hint="eastAsia" w:ascii="仿宋" w:hAnsi="仿宋" w:eastAsia="仿宋" w:cs="仿宋"/>
          <w:snapToGrid/>
          <w:spacing w:val="0"/>
          <w:w w:val="100"/>
          <w:kern w:val="32"/>
          <w:position w:val="0"/>
          <w:sz w:val="32"/>
          <w:szCs w:val="32"/>
          <w:lang w:eastAsia="zh-CN"/>
        </w:rPr>
        <w:t>（</w:t>
      </w:r>
      <w:r>
        <w:rPr>
          <w:rFonts w:hint="eastAsia" w:ascii="仿宋" w:hAnsi="仿宋" w:eastAsia="仿宋" w:cs="仿宋"/>
          <w:snapToGrid/>
          <w:spacing w:val="0"/>
          <w:w w:val="100"/>
          <w:kern w:val="32"/>
          <w:position w:val="0"/>
          <w:sz w:val="32"/>
          <w:szCs w:val="32"/>
          <w:lang w:val="en-US" w:eastAsia="zh-CN"/>
        </w:rPr>
        <w:t>责任单位：</w:t>
      </w:r>
      <w:r>
        <w:rPr>
          <w:rFonts w:hint="eastAsia" w:ascii="仿宋" w:hAnsi="仿宋" w:eastAsia="仿宋" w:cs="仿宋"/>
          <w:snapToGrid/>
          <w:color w:val="FF0000"/>
          <w:spacing w:val="0"/>
          <w:w w:val="100"/>
          <w:kern w:val="32"/>
          <w:position w:val="0"/>
          <w:sz w:val="32"/>
          <w:szCs w:val="32"/>
          <w:lang w:val="en-US" w:eastAsia="zh-CN"/>
        </w:rPr>
        <w:t>人行苍南县支行</w:t>
      </w:r>
      <w:r>
        <w:rPr>
          <w:rFonts w:hint="eastAsia" w:ascii="仿宋" w:hAnsi="仿宋" w:eastAsia="仿宋" w:cs="仿宋"/>
          <w:snapToGrid/>
          <w:spacing w:val="0"/>
          <w:w w:val="100"/>
          <w:kern w:val="32"/>
          <w:position w:val="0"/>
          <w:sz w:val="32"/>
          <w:szCs w:val="32"/>
          <w:lang w:val="en-US" w:eastAsia="zh-CN"/>
        </w:rPr>
        <w:t>、市经发局-发改口、金融口、市财政局、市自然资源与规划建设局、市农业农村局</w:t>
      </w:r>
      <w:r>
        <w:rPr>
          <w:rFonts w:hint="eastAsia" w:ascii="仿宋" w:hAnsi="仿宋" w:eastAsia="仿宋" w:cs="仿宋"/>
          <w:snapToGrid/>
          <w:spacing w:val="0"/>
          <w:w w:val="100"/>
          <w:kern w:val="32"/>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spacing w:line="240" w:lineRule="auto"/>
        <w:ind w:firstLine="649"/>
        <w:textAlignment w:val="baseline"/>
        <w:rPr>
          <w:rFonts w:hint="eastAsia" w:ascii="仿宋" w:hAnsi="仿宋" w:eastAsia="仿宋" w:cs="仿宋"/>
          <w:snapToGrid/>
          <w:spacing w:val="0"/>
          <w:w w:val="100"/>
          <w:kern w:val="32"/>
          <w:position w:val="0"/>
          <w:sz w:val="32"/>
          <w:szCs w:val="32"/>
          <w:lang w:eastAsia="zh-CN"/>
        </w:rPr>
      </w:pPr>
      <w:r>
        <w:rPr>
          <w:rFonts w:ascii="Times New Roman" w:hAnsi="Times New Roman" w:eastAsia="Times New Roman" w:cs="Times New Roman"/>
          <w:snapToGrid/>
          <w:spacing w:val="0"/>
          <w:w w:val="100"/>
          <w:kern w:val="32"/>
          <w:position w:val="0"/>
          <w:sz w:val="32"/>
          <w:szCs w:val="32"/>
        </w:rPr>
        <w:t>11.</w:t>
      </w:r>
      <w:r>
        <w:rPr>
          <w:rFonts w:ascii="楷体" w:hAnsi="楷体" w:eastAsia="楷体" w:cs="楷体"/>
          <w:snapToGrid/>
          <w:spacing w:val="0"/>
          <w:w w:val="100"/>
          <w:kern w:val="32"/>
          <w:position w:val="0"/>
          <w:sz w:val="32"/>
          <w:szCs w:val="32"/>
        </w:rPr>
        <w:t>加大基础设施和重大项目建设金融支持。</w:t>
      </w:r>
      <w:r>
        <w:rPr>
          <w:rFonts w:ascii="仿宋" w:hAnsi="仿宋" w:eastAsia="仿宋" w:cs="仿宋"/>
          <w:snapToGrid/>
          <w:spacing w:val="0"/>
          <w:w w:val="100"/>
          <w:kern w:val="32"/>
          <w:position w:val="0"/>
          <w:sz w:val="32"/>
          <w:szCs w:val="32"/>
        </w:rPr>
        <w:t>引导银行机构加大信贷投放力度，适当延长贷款期限，积极争取政策性银行低成本、中长期资金支持，加大对交通、水利、能源、市政等重大基础设施项目、重点产业项目、重点民生项目的支持力度。持续 推进</w:t>
      </w:r>
      <w:r>
        <w:rPr>
          <w:rFonts w:ascii="Times New Roman" w:hAnsi="Times New Roman" w:eastAsia="Times New Roman" w:cs="Times New Roman"/>
          <w:snapToGrid/>
          <w:spacing w:val="0"/>
          <w:w w:val="100"/>
          <w:kern w:val="32"/>
          <w:position w:val="0"/>
          <w:sz w:val="32"/>
          <w:szCs w:val="32"/>
        </w:rPr>
        <w:t xml:space="preserve">“ </w:t>
      </w:r>
      <w:r>
        <w:rPr>
          <w:rFonts w:ascii="仿宋" w:hAnsi="仿宋" w:eastAsia="仿宋" w:cs="仿宋"/>
          <w:snapToGrid/>
          <w:spacing w:val="0"/>
          <w:w w:val="100"/>
          <w:kern w:val="32"/>
          <w:position w:val="0"/>
          <w:sz w:val="32"/>
          <w:szCs w:val="32"/>
        </w:rPr>
        <w:t>险资入温</w:t>
      </w:r>
      <w:r>
        <w:rPr>
          <w:rFonts w:ascii="Times New Roman" w:hAnsi="Times New Roman" w:eastAsia="Times New Roman" w:cs="Times New Roman"/>
          <w:snapToGrid/>
          <w:spacing w:val="0"/>
          <w:w w:val="100"/>
          <w:kern w:val="32"/>
          <w:position w:val="0"/>
          <w:sz w:val="32"/>
          <w:szCs w:val="32"/>
        </w:rPr>
        <w:t>”</w:t>
      </w:r>
      <w:r>
        <w:rPr>
          <w:rFonts w:ascii="仿宋" w:hAnsi="仿宋" w:eastAsia="仿宋" w:cs="仿宋"/>
          <w:snapToGrid/>
          <w:spacing w:val="0"/>
          <w:w w:val="100"/>
          <w:kern w:val="32"/>
          <w:position w:val="0"/>
          <w:sz w:val="32"/>
          <w:szCs w:val="32"/>
        </w:rPr>
        <w:t>工作，鼓励保险公司以股权投资、债权投资等形式，更大力度参与重大基础设施建设、产业投资基金创建等。积极落地碳减排支持工具扩面，支持温州</w:t>
      </w:r>
      <w:r>
        <w:rPr>
          <w:rFonts w:hint="eastAsia" w:ascii="仿宋" w:hAnsi="仿宋" w:eastAsia="仿宋" w:cs="仿宋"/>
          <w:snapToGrid/>
          <w:spacing w:val="0"/>
          <w:w w:val="100"/>
          <w:kern w:val="32"/>
          <w:position w:val="0"/>
          <w:sz w:val="32"/>
          <w:szCs w:val="32"/>
          <w:lang w:val="en-US" w:eastAsia="zh-CN"/>
        </w:rPr>
        <w:t>绿</w:t>
      </w:r>
      <w:r>
        <w:rPr>
          <w:rFonts w:ascii="仿宋" w:hAnsi="仿宋" w:eastAsia="仿宋" w:cs="仿宋"/>
          <w:snapToGrid/>
          <w:spacing w:val="0"/>
          <w:w w:val="100"/>
          <w:kern w:val="32"/>
          <w:position w:val="0"/>
          <w:sz w:val="32"/>
          <w:szCs w:val="32"/>
        </w:rPr>
        <w:t>色能源项目建设。</w:t>
      </w:r>
      <w:r>
        <w:rPr>
          <w:rFonts w:hint="eastAsia" w:ascii="仿宋" w:hAnsi="仿宋" w:eastAsia="仿宋" w:cs="仿宋"/>
          <w:snapToGrid/>
          <w:spacing w:val="0"/>
          <w:w w:val="100"/>
          <w:kern w:val="32"/>
          <w:position w:val="0"/>
          <w:sz w:val="32"/>
          <w:szCs w:val="32"/>
          <w:lang w:eastAsia="zh-CN"/>
        </w:rPr>
        <w:t>（</w:t>
      </w:r>
      <w:r>
        <w:rPr>
          <w:rFonts w:hint="eastAsia" w:ascii="仿宋" w:hAnsi="仿宋" w:eastAsia="仿宋" w:cs="仿宋"/>
          <w:snapToGrid/>
          <w:spacing w:val="0"/>
          <w:w w:val="100"/>
          <w:kern w:val="32"/>
          <w:position w:val="0"/>
          <w:sz w:val="32"/>
          <w:szCs w:val="32"/>
          <w:lang w:val="en-US" w:eastAsia="zh-CN"/>
        </w:rPr>
        <w:t>责任单位：</w:t>
      </w:r>
      <w:r>
        <w:rPr>
          <w:rFonts w:hint="eastAsia" w:ascii="仿宋" w:hAnsi="仿宋" w:eastAsia="仿宋" w:cs="仿宋"/>
          <w:snapToGrid/>
          <w:color w:val="FF0000"/>
          <w:spacing w:val="0"/>
          <w:w w:val="100"/>
          <w:kern w:val="32"/>
          <w:position w:val="0"/>
          <w:sz w:val="32"/>
          <w:szCs w:val="32"/>
          <w:lang w:val="en-US" w:eastAsia="zh-CN"/>
        </w:rPr>
        <w:t>人行苍南县支行</w:t>
      </w:r>
      <w:r>
        <w:rPr>
          <w:rFonts w:hint="eastAsia" w:ascii="仿宋" w:hAnsi="仿宋" w:eastAsia="仿宋" w:cs="仿宋"/>
          <w:snapToGrid/>
          <w:spacing w:val="0"/>
          <w:w w:val="100"/>
          <w:kern w:val="32"/>
          <w:position w:val="0"/>
          <w:sz w:val="32"/>
          <w:szCs w:val="32"/>
          <w:lang w:val="en-US" w:eastAsia="zh-CN"/>
        </w:rPr>
        <w:t>、市经发局-金融口、市国有资本运营公司</w:t>
      </w:r>
      <w:r>
        <w:rPr>
          <w:rFonts w:hint="eastAsia" w:ascii="仿宋" w:hAnsi="仿宋" w:eastAsia="仿宋" w:cs="仿宋"/>
          <w:snapToGrid/>
          <w:spacing w:val="0"/>
          <w:w w:val="100"/>
          <w:kern w:val="32"/>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spacing w:line="240" w:lineRule="auto"/>
        <w:ind w:firstLine="649"/>
        <w:textAlignment w:val="baseline"/>
        <w:rPr>
          <w:rFonts w:hint="eastAsia" w:ascii="仿宋" w:hAnsi="仿宋" w:eastAsia="仿宋" w:cs="仿宋"/>
          <w:snapToGrid/>
          <w:spacing w:val="0"/>
          <w:w w:val="100"/>
          <w:kern w:val="32"/>
          <w:position w:val="0"/>
          <w:sz w:val="32"/>
          <w:szCs w:val="32"/>
          <w:lang w:eastAsia="zh-CN"/>
        </w:rPr>
      </w:pPr>
      <w:r>
        <w:rPr>
          <w:rFonts w:ascii="Times New Roman" w:hAnsi="Times New Roman" w:eastAsia="Times New Roman" w:cs="Times New Roman"/>
          <w:snapToGrid/>
          <w:spacing w:val="0"/>
          <w:w w:val="100"/>
          <w:kern w:val="32"/>
          <w:position w:val="0"/>
          <w:sz w:val="32"/>
          <w:szCs w:val="32"/>
        </w:rPr>
        <w:t>12.</w:t>
      </w:r>
      <w:r>
        <w:rPr>
          <w:rFonts w:ascii="楷体" w:hAnsi="楷体" w:eastAsia="楷体" w:cs="楷体"/>
          <w:snapToGrid/>
          <w:spacing w:val="0"/>
          <w:w w:val="100"/>
          <w:kern w:val="32"/>
          <w:position w:val="0"/>
          <w:sz w:val="32"/>
          <w:szCs w:val="32"/>
        </w:rPr>
        <w:t>深化金融支持稳外贸稳外资。</w:t>
      </w:r>
      <w:r>
        <w:rPr>
          <w:rFonts w:ascii="仿宋" w:hAnsi="仿宋" w:eastAsia="仿宋" w:cs="仿宋"/>
          <w:snapToGrid/>
          <w:spacing w:val="0"/>
          <w:w w:val="100"/>
          <w:kern w:val="32"/>
          <w:position w:val="0"/>
          <w:sz w:val="32"/>
          <w:szCs w:val="32"/>
        </w:rPr>
        <w:t>深化</w:t>
      </w:r>
      <w:r>
        <w:rPr>
          <w:rFonts w:ascii="Times New Roman" w:hAnsi="Times New Roman" w:eastAsia="Times New Roman" w:cs="Times New Roman"/>
          <w:snapToGrid/>
          <w:spacing w:val="0"/>
          <w:w w:val="100"/>
          <w:kern w:val="32"/>
          <w:position w:val="0"/>
          <w:sz w:val="32"/>
          <w:szCs w:val="32"/>
        </w:rPr>
        <w:t>“</w:t>
      </w:r>
      <w:r>
        <w:rPr>
          <w:rFonts w:ascii="仿宋" w:hAnsi="仿宋" w:eastAsia="仿宋" w:cs="仿宋"/>
          <w:snapToGrid/>
          <w:spacing w:val="0"/>
          <w:w w:val="100"/>
          <w:kern w:val="32"/>
          <w:position w:val="0"/>
          <w:sz w:val="32"/>
          <w:szCs w:val="32"/>
        </w:rPr>
        <w:t>订单</w:t>
      </w:r>
      <w:r>
        <w:rPr>
          <w:rFonts w:ascii="Times New Roman" w:hAnsi="Times New Roman" w:eastAsia="Times New Roman" w:cs="Times New Roman"/>
          <w:snapToGrid/>
          <w:spacing w:val="0"/>
          <w:w w:val="100"/>
          <w:kern w:val="32"/>
          <w:position w:val="0"/>
          <w:sz w:val="32"/>
          <w:szCs w:val="32"/>
        </w:rPr>
        <w:t>+</w:t>
      </w:r>
      <w:r>
        <w:rPr>
          <w:rFonts w:ascii="仿宋" w:hAnsi="仿宋" w:eastAsia="仿宋" w:cs="仿宋"/>
          <w:snapToGrid/>
          <w:spacing w:val="0"/>
          <w:w w:val="100"/>
          <w:kern w:val="32"/>
          <w:position w:val="0"/>
          <w:sz w:val="32"/>
          <w:szCs w:val="32"/>
        </w:rPr>
        <w:t>清单</w:t>
      </w:r>
      <w:r>
        <w:rPr>
          <w:rFonts w:ascii="Times New Roman" w:hAnsi="Times New Roman" w:eastAsia="Times New Roman" w:cs="Times New Roman"/>
          <w:snapToGrid/>
          <w:spacing w:val="0"/>
          <w:w w:val="100"/>
          <w:kern w:val="32"/>
          <w:position w:val="0"/>
          <w:sz w:val="32"/>
          <w:szCs w:val="32"/>
        </w:rPr>
        <w:t xml:space="preserve">” </w:t>
      </w:r>
      <w:r>
        <w:rPr>
          <w:rFonts w:ascii="仿宋" w:hAnsi="仿宋" w:eastAsia="仿宋" w:cs="仿宋"/>
          <w:snapToGrid/>
          <w:spacing w:val="0"/>
          <w:w w:val="100"/>
          <w:kern w:val="32"/>
          <w:position w:val="0"/>
          <w:sz w:val="32"/>
          <w:szCs w:val="32"/>
        </w:rPr>
        <w:t>等融资方式创新，加大外贸企业流动资金支持。做实外贸企业汇率避险服务，适时将政策适用对象拓展至个体工商户和外贸综合服务企业。推进贸易外汇收支便利化试点提质增效，让更多优质中小企业享受贸易结算便利，力争试点业务实现翻番。加大对外贸产业支持力度，完成外贸产业贷款额新增计划。加强对重点外资企业金融支持。</w:t>
      </w:r>
      <w:r>
        <w:rPr>
          <w:rFonts w:hint="eastAsia" w:ascii="仿宋" w:hAnsi="仿宋" w:eastAsia="仿宋" w:cs="仿宋"/>
          <w:snapToGrid/>
          <w:spacing w:val="0"/>
          <w:w w:val="100"/>
          <w:kern w:val="32"/>
          <w:position w:val="0"/>
          <w:sz w:val="32"/>
          <w:szCs w:val="32"/>
          <w:lang w:eastAsia="zh-CN"/>
        </w:rPr>
        <w:t>（</w:t>
      </w:r>
      <w:r>
        <w:rPr>
          <w:rFonts w:hint="eastAsia" w:ascii="仿宋" w:hAnsi="仿宋" w:eastAsia="仿宋" w:cs="仿宋"/>
          <w:snapToGrid/>
          <w:spacing w:val="0"/>
          <w:w w:val="100"/>
          <w:kern w:val="32"/>
          <w:position w:val="0"/>
          <w:sz w:val="32"/>
          <w:szCs w:val="32"/>
          <w:lang w:val="en-US" w:eastAsia="zh-CN"/>
        </w:rPr>
        <w:t>责任单位：</w:t>
      </w:r>
      <w:r>
        <w:rPr>
          <w:rFonts w:hint="eastAsia" w:ascii="仿宋" w:hAnsi="仿宋" w:eastAsia="仿宋" w:cs="仿宋"/>
          <w:snapToGrid/>
          <w:color w:val="FF0000"/>
          <w:spacing w:val="0"/>
          <w:w w:val="100"/>
          <w:kern w:val="32"/>
          <w:position w:val="0"/>
          <w:sz w:val="32"/>
          <w:szCs w:val="32"/>
          <w:lang w:val="en-US" w:eastAsia="zh-CN"/>
        </w:rPr>
        <w:t>人行苍南县支行</w:t>
      </w:r>
      <w:r>
        <w:rPr>
          <w:rFonts w:hint="eastAsia" w:ascii="仿宋" w:hAnsi="仿宋" w:eastAsia="仿宋" w:cs="仿宋"/>
          <w:snapToGrid/>
          <w:spacing w:val="0"/>
          <w:w w:val="100"/>
          <w:kern w:val="32"/>
          <w:position w:val="0"/>
          <w:sz w:val="32"/>
          <w:szCs w:val="32"/>
          <w:lang w:val="en-US" w:eastAsia="zh-CN"/>
        </w:rPr>
        <w:t>、市经发局-商贸口、市财政局、市投资促进中心</w:t>
      </w:r>
      <w:r>
        <w:rPr>
          <w:rFonts w:hint="eastAsia" w:ascii="仿宋" w:hAnsi="仿宋" w:eastAsia="仿宋" w:cs="仿宋"/>
          <w:snapToGrid/>
          <w:spacing w:val="0"/>
          <w:w w:val="100"/>
          <w:kern w:val="32"/>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spacing w:line="240" w:lineRule="auto"/>
        <w:ind w:left="6" w:firstLine="666"/>
        <w:textAlignment w:val="baseline"/>
        <w:rPr>
          <w:rFonts w:hint="eastAsia" w:ascii="仿宋" w:hAnsi="仿宋" w:eastAsia="仿宋" w:cs="仿宋"/>
          <w:snapToGrid/>
          <w:spacing w:val="0"/>
          <w:w w:val="100"/>
          <w:kern w:val="32"/>
          <w:position w:val="0"/>
          <w:sz w:val="32"/>
          <w:szCs w:val="32"/>
          <w:lang w:eastAsia="zh-CN"/>
        </w:rPr>
      </w:pPr>
      <w:r>
        <w:rPr>
          <w:rFonts w:ascii="Times New Roman" w:hAnsi="Times New Roman" w:eastAsia="Times New Roman" w:cs="Times New Roman"/>
          <w:snapToGrid/>
          <w:spacing w:val="0"/>
          <w:w w:val="100"/>
          <w:kern w:val="32"/>
          <w:position w:val="0"/>
          <w:sz w:val="32"/>
          <w:szCs w:val="32"/>
        </w:rPr>
        <w:t>13.</w:t>
      </w:r>
      <w:r>
        <w:rPr>
          <w:rFonts w:ascii="楷体" w:hAnsi="楷体" w:eastAsia="楷体" w:cs="楷体"/>
          <w:snapToGrid/>
          <w:spacing w:val="0"/>
          <w:w w:val="100"/>
          <w:kern w:val="32"/>
          <w:position w:val="0"/>
          <w:sz w:val="32"/>
          <w:szCs w:val="32"/>
        </w:rPr>
        <w:t>完善住房领域金融服务。</w:t>
      </w:r>
      <w:r>
        <w:rPr>
          <w:rFonts w:ascii="仿宋" w:hAnsi="仿宋" w:eastAsia="仿宋" w:cs="仿宋"/>
          <w:snapToGrid/>
          <w:spacing w:val="0"/>
          <w:w w:val="100"/>
          <w:kern w:val="32"/>
          <w:position w:val="0"/>
          <w:sz w:val="32"/>
          <w:szCs w:val="32"/>
        </w:rPr>
        <w:t>结合温州实际，实施差别化住 房信贷政策，更好满足购房者合理住房需求。加强房地产项目融 资服务，保持房地产信贷平稳增长。加大对保障性住房的支持力度。积极对接有并购需求的房地产企业，主动提供并购金融服务。</w:t>
      </w:r>
      <w:r>
        <w:rPr>
          <w:rFonts w:hint="eastAsia" w:ascii="仿宋" w:hAnsi="仿宋" w:eastAsia="仿宋" w:cs="仿宋"/>
          <w:snapToGrid/>
          <w:spacing w:val="0"/>
          <w:w w:val="100"/>
          <w:kern w:val="32"/>
          <w:position w:val="0"/>
          <w:sz w:val="32"/>
          <w:szCs w:val="32"/>
          <w:lang w:eastAsia="zh-CN"/>
        </w:rPr>
        <w:t>（</w:t>
      </w:r>
      <w:r>
        <w:rPr>
          <w:rFonts w:hint="eastAsia" w:ascii="仿宋" w:hAnsi="仿宋" w:eastAsia="仿宋" w:cs="仿宋"/>
          <w:snapToGrid/>
          <w:spacing w:val="0"/>
          <w:w w:val="100"/>
          <w:kern w:val="32"/>
          <w:position w:val="0"/>
          <w:sz w:val="32"/>
          <w:szCs w:val="32"/>
          <w:lang w:val="en-US" w:eastAsia="zh-CN"/>
        </w:rPr>
        <w:t>责任单位：</w:t>
      </w:r>
      <w:r>
        <w:rPr>
          <w:rFonts w:hint="eastAsia" w:ascii="仿宋" w:hAnsi="仿宋" w:eastAsia="仿宋" w:cs="仿宋"/>
          <w:snapToGrid/>
          <w:color w:val="FF0000"/>
          <w:spacing w:val="0"/>
          <w:w w:val="100"/>
          <w:kern w:val="32"/>
          <w:position w:val="0"/>
          <w:sz w:val="32"/>
          <w:szCs w:val="32"/>
          <w:lang w:val="en-US" w:eastAsia="zh-CN"/>
        </w:rPr>
        <w:t>人行苍南县支行</w:t>
      </w:r>
      <w:r>
        <w:rPr>
          <w:rFonts w:hint="eastAsia" w:ascii="仿宋" w:hAnsi="仿宋" w:eastAsia="仿宋" w:cs="仿宋"/>
          <w:snapToGrid/>
          <w:spacing w:val="0"/>
          <w:w w:val="100"/>
          <w:kern w:val="32"/>
          <w:position w:val="0"/>
          <w:sz w:val="32"/>
          <w:szCs w:val="32"/>
          <w:lang w:val="en-US" w:eastAsia="zh-CN"/>
        </w:rPr>
        <w:t>、市自然资源与规划建设局</w:t>
      </w:r>
      <w:r>
        <w:rPr>
          <w:rFonts w:hint="eastAsia" w:ascii="仿宋" w:hAnsi="仿宋" w:eastAsia="仿宋" w:cs="仿宋"/>
          <w:snapToGrid/>
          <w:spacing w:val="0"/>
          <w:w w:val="100"/>
          <w:kern w:val="32"/>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spacing w:line="240" w:lineRule="auto"/>
        <w:ind w:left="6" w:firstLine="666"/>
        <w:textAlignment w:val="baseline"/>
        <w:rPr>
          <w:rFonts w:ascii="黑体" w:hAnsi="黑体" w:eastAsia="黑体" w:cs="黑体"/>
          <w:snapToGrid/>
          <w:spacing w:val="0"/>
          <w:w w:val="100"/>
          <w:kern w:val="32"/>
          <w:position w:val="0"/>
          <w:sz w:val="32"/>
          <w:szCs w:val="32"/>
        </w:rPr>
      </w:pPr>
      <w:r>
        <w:rPr>
          <w:rFonts w:ascii="黑体" w:hAnsi="黑体" w:eastAsia="黑体" w:cs="黑体"/>
          <w:snapToGrid/>
          <w:spacing w:val="0"/>
          <w:w w:val="100"/>
          <w:kern w:val="32"/>
          <w:position w:val="0"/>
          <w:sz w:val="32"/>
          <w:szCs w:val="32"/>
        </w:rPr>
        <w:t>三、扩大有效投资措施（</w:t>
      </w:r>
      <w:r>
        <w:rPr>
          <w:rFonts w:ascii="Times New Roman" w:hAnsi="Times New Roman" w:eastAsia="Times New Roman" w:cs="Times New Roman"/>
          <w:snapToGrid/>
          <w:spacing w:val="0"/>
          <w:w w:val="100"/>
          <w:kern w:val="32"/>
          <w:position w:val="0"/>
          <w:sz w:val="32"/>
          <w:szCs w:val="32"/>
        </w:rPr>
        <w:t xml:space="preserve">4 </w:t>
      </w:r>
      <w:r>
        <w:rPr>
          <w:rFonts w:ascii="黑体" w:hAnsi="黑体" w:eastAsia="黑体" w:cs="黑体"/>
          <w:snapToGrid/>
          <w:spacing w:val="0"/>
          <w:w w:val="100"/>
          <w:kern w:val="32"/>
          <w:position w:val="0"/>
          <w:sz w:val="32"/>
          <w:szCs w:val="32"/>
        </w:rPr>
        <w:t>项）</w:t>
      </w:r>
    </w:p>
    <w:p>
      <w:pPr>
        <w:keepNext w:val="0"/>
        <w:keepLines w:val="0"/>
        <w:pageBreakBefore w:val="0"/>
        <w:widowControl/>
        <w:kinsoku w:val="0"/>
        <w:wordWrap/>
        <w:overflowPunct/>
        <w:topLinePunct w:val="0"/>
        <w:autoSpaceDE w:val="0"/>
        <w:autoSpaceDN w:val="0"/>
        <w:bidi w:val="0"/>
        <w:adjustRightInd w:val="0"/>
        <w:snapToGrid/>
        <w:spacing w:line="240" w:lineRule="auto"/>
        <w:ind w:left="6" w:firstLine="666"/>
        <w:textAlignment w:val="baseline"/>
        <w:rPr>
          <w:rFonts w:hint="eastAsia" w:ascii="仿宋" w:hAnsi="仿宋" w:eastAsia="仿宋" w:cs="仿宋"/>
          <w:snapToGrid/>
          <w:spacing w:val="0"/>
          <w:w w:val="100"/>
          <w:kern w:val="32"/>
          <w:position w:val="0"/>
          <w:sz w:val="32"/>
          <w:szCs w:val="32"/>
          <w:lang w:eastAsia="zh-CN"/>
        </w:rPr>
      </w:pPr>
      <w:r>
        <w:rPr>
          <w:rFonts w:ascii="Times New Roman" w:hAnsi="Times New Roman" w:eastAsia="Times New Roman" w:cs="Times New Roman"/>
          <w:snapToGrid/>
          <w:spacing w:val="0"/>
          <w:w w:val="100"/>
          <w:kern w:val="32"/>
          <w:position w:val="0"/>
          <w:sz w:val="32"/>
          <w:szCs w:val="32"/>
        </w:rPr>
        <w:t>14.</w:t>
      </w:r>
      <w:r>
        <w:rPr>
          <w:rFonts w:ascii="楷体" w:hAnsi="楷体" w:eastAsia="楷体" w:cs="楷体"/>
          <w:snapToGrid/>
          <w:spacing w:val="0"/>
          <w:w w:val="100"/>
          <w:kern w:val="32"/>
          <w:position w:val="0"/>
          <w:sz w:val="32"/>
          <w:szCs w:val="32"/>
        </w:rPr>
        <w:t>加快推进一批重大水利项目。</w:t>
      </w:r>
      <w:r>
        <w:rPr>
          <w:rFonts w:ascii="仿宋" w:hAnsi="仿宋" w:eastAsia="仿宋" w:cs="仿宋"/>
          <w:snapToGrid/>
          <w:spacing w:val="0"/>
          <w:w w:val="100"/>
          <w:kern w:val="32"/>
          <w:position w:val="0"/>
          <w:sz w:val="32"/>
          <w:szCs w:val="32"/>
        </w:rPr>
        <w:t xml:space="preserve">加快推进一批补短板、惠民生的重大水利项目，以海塘安澜、防洪排涝、水资源保障为重点，全年确保新开工温州国家海洋经济发展示范区海塘安澜工程（浅滩二期生态堤）等 </w:t>
      </w:r>
      <w:r>
        <w:rPr>
          <w:rFonts w:ascii="Times New Roman" w:hAnsi="Times New Roman" w:eastAsia="Times New Roman" w:cs="Times New Roman"/>
          <w:snapToGrid/>
          <w:spacing w:val="0"/>
          <w:w w:val="100"/>
          <w:kern w:val="32"/>
          <w:position w:val="0"/>
          <w:sz w:val="32"/>
          <w:szCs w:val="32"/>
        </w:rPr>
        <w:t>20</w:t>
      </w:r>
      <w:r>
        <w:rPr>
          <w:rFonts w:ascii="仿宋" w:hAnsi="仿宋" w:eastAsia="仿宋" w:cs="仿宋"/>
          <w:snapToGrid/>
          <w:spacing w:val="0"/>
          <w:w w:val="100"/>
          <w:kern w:val="32"/>
          <w:position w:val="0"/>
          <w:sz w:val="32"/>
          <w:szCs w:val="32"/>
        </w:rPr>
        <w:t>项重大水利工程。着力推进一批已纳入规划、建设条件成熟的重大项目前期，力争储备项目投资规模</w:t>
      </w:r>
      <w:r>
        <w:rPr>
          <w:rFonts w:ascii="Times New Roman" w:hAnsi="Times New Roman" w:eastAsia="Times New Roman" w:cs="Times New Roman"/>
          <w:snapToGrid/>
          <w:spacing w:val="0"/>
          <w:w w:val="100"/>
          <w:kern w:val="32"/>
          <w:position w:val="0"/>
          <w:sz w:val="32"/>
          <w:szCs w:val="32"/>
        </w:rPr>
        <w:t>100</w:t>
      </w:r>
      <w:r>
        <w:rPr>
          <w:rFonts w:ascii="仿宋" w:hAnsi="仿宋" w:eastAsia="仿宋" w:cs="仿宋"/>
          <w:snapToGrid/>
          <w:spacing w:val="0"/>
          <w:w w:val="100"/>
          <w:kern w:val="32"/>
          <w:position w:val="0"/>
          <w:sz w:val="32"/>
          <w:szCs w:val="32"/>
        </w:rPr>
        <w:t>亿元。贯彻落实省级水网建设工作部署，谋划和推进乐清市银溪水库、瑞安市六科水库等一批水利民生项目。</w:t>
      </w:r>
      <w:r>
        <w:rPr>
          <w:rFonts w:hint="eastAsia" w:ascii="仿宋" w:hAnsi="仿宋" w:eastAsia="仿宋" w:cs="仿宋"/>
          <w:snapToGrid/>
          <w:spacing w:val="0"/>
          <w:w w:val="100"/>
          <w:kern w:val="32"/>
          <w:position w:val="0"/>
          <w:sz w:val="32"/>
          <w:szCs w:val="32"/>
          <w:lang w:eastAsia="zh-CN"/>
        </w:rPr>
        <w:t>（</w:t>
      </w:r>
      <w:r>
        <w:rPr>
          <w:rFonts w:hint="eastAsia" w:ascii="仿宋" w:hAnsi="仿宋" w:eastAsia="仿宋" w:cs="仿宋"/>
          <w:snapToGrid/>
          <w:spacing w:val="0"/>
          <w:w w:val="100"/>
          <w:kern w:val="32"/>
          <w:position w:val="0"/>
          <w:sz w:val="32"/>
          <w:szCs w:val="32"/>
          <w:lang w:val="en-US" w:eastAsia="zh-CN"/>
        </w:rPr>
        <w:t>责任单位：</w:t>
      </w:r>
      <w:r>
        <w:rPr>
          <w:rFonts w:hint="eastAsia" w:ascii="仿宋" w:hAnsi="仿宋" w:eastAsia="仿宋" w:cs="仿宋"/>
          <w:snapToGrid/>
          <w:color w:val="FF0000"/>
          <w:spacing w:val="0"/>
          <w:w w:val="100"/>
          <w:kern w:val="32"/>
          <w:position w:val="0"/>
          <w:sz w:val="32"/>
          <w:szCs w:val="32"/>
          <w:lang w:val="en-US" w:eastAsia="zh-CN"/>
        </w:rPr>
        <w:t>市农业农村局</w:t>
      </w:r>
      <w:r>
        <w:rPr>
          <w:rFonts w:hint="eastAsia" w:ascii="仿宋" w:hAnsi="仿宋" w:eastAsia="仿宋" w:cs="仿宋"/>
          <w:snapToGrid/>
          <w:spacing w:val="0"/>
          <w:w w:val="100"/>
          <w:kern w:val="32"/>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spacing w:line="240" w:lineRule="auto"/>
        <w:ind w:left="6" w:firstLine="666"/>
        <w:textAlignment w:val="baseline"/>
        <w:rPr>
          <w:rFonts w:hint="eastAsia" w:ascii="仿宋" w:hAnsi="仿宋" w:eastAsia="仿宋" w:cs="仿宋"/>
          <w:snapToGrid/>
          <w:spacing w:val="0"/>
          <w:w w:val="100"/>
          <w:kern w:val="32"/>
          <w:position w:val="0"/>
          <w:sz w:val="32"/>
          <w:szCs w:val="32"/>
          <w:lang w:eastAsia="zh-CN"/>
        </w:rPr>
      </w:pPr>
      <w:r>
        <w:rPr>
          <w:rFonts w:ascii="Times New Roman" w:hAnsi="Times New Roman" w:eastAsia="Times New Roman" w:cs="Times New Roman"/>
          <w:snapToGrid/>
          <w:spacing w:val="0"/>
          <w:w w:val="100"/>
          <w:kern w:val="32"/>
          <w:position w:val="0"/>
          <w:sz w:val="32"/>
          <w:szCs w:val="32"/>
        </w:rPr>
        <w:t>15.</w:t>
      </w:r>
      <w:r>
        <w:rPr>
          <w:rFonts w:ascii="楷体" w:hAnsi="楷体" w:eastAsia="楷体" w:cs="楷体"/>
          <w:snapToGrid/>
          <w:spacing w:val="0"/>
          <w:w w:val="100"/>
          <w:kern w:val="32"/>
          <w:position w:val="0"/>
          <w:sz w:val="32"/>
          <w:szCs w:val="32"/>
        </w:rPr>
        <w:t>扩大交通基础设施投资。</w:t>
      </w:r>
      <w:r>
        <w:rPr>
          <w:rFonts w:ascii="仿宋" w:hAnsi="仿宋" w:eastAsia="仿宋" w:cs="仿宋"/>
          <w:snapToGrid/>
          <w:spacing w:val="0"/>
          <w:w w:val="100"/>
          <w:kern w:val="32"/>
          <w:position w:val="0"/>
          <w:sz w:val="32"/>
          <w:szCs w:val="32"/>
        </w:rPr>
        <w:t>以全国性综合交通枢纽建设为 总目标，全面实施全市综合交通大会战，集中力量建设一批功能性枢纽型网络化重大交通基础设施。开工甬台温复线瑞安联络线、苍泰高速等重大项目。提速瑞苍高速、金丽温高速东延线等项目建设，实现杭温铁路温州段基本贯通，市域铁路</w:t>
      </w:r>
      <w:r>
        <w:rPr>
          <w:rFonts w:ascii="Times New Roman" w:hAnsi="Times New Roman" w:eastAsia="Times New Roman" w:cs="Times New Roman"/>
          <w:snapToGrid/>
          <w:spacing w:val="0"/>
          <w:w w:val="100"/>
          <w:kern w:val="32"/>
          <w:position w:val="0"/>
          <w:sz w:val="32"/>
          <w:szCs w:val="32"/>
        </w:rPr>
        <w:t>S2</w:t>
      </w:r>
      <w:r>
        <w:rPr>
          <w:rFonts w:ascii="仿宋" w:hAnsi="仿宋" w:eastAsia="仿宋" w:cs="仿宋"/>
          <w:snapToGrid/>
          <w:spacing w:val="0"/>
          <w:w w:val="100"/>
          <w:kern w:val="32"/>
          <w:position w:val="0"/>
          <w:sz w:val="32"/>
          <w:szCs w:val="32"/>
        </w:rPr>
        <w:t>线一期工程主线基本完工，建成投用景文高速。加快温福高铁、温武吉铁路、东部综合交通枢纽、洞头第二通道等重大交通项目前期。提速推进状元岙二期、乐清湾港区</w:t>
      </w:r>
      <w:r>
        <w:rPr>
          <w:rFonts w:ascii="Times New Roman" w:hAnsi="Times New Roman" w:eastAsia="Times New Roman" w:cs="Times New Roman"/>
          <w:snapToGrid/>
          <w:spacing w:val="0"/>
          <w:w w:val="100"/>
          <w:kern w:val="32"/>
          <w:position w:val="0"/>
          <w:sz w:val="32"/>
          <w:szCs w:val="32"/>
        </w:rPr>
        <w:t>C</w:t>
      </w:r>
      <w:r>
        <w:rPr>
          <w:rFonts w:ascii="仿宋" w:hAnsi="仿宋" w:eastAsia="仿宋" w:cs="仿宋"/>
          <w:snapToGrid/>
          <w:spacing w:val="0"/>
          <w:w w:val="100"/>
          <w:kern w:val="32"/>
          <w:position w:val="0"/>
          <w:sz w:val="32"/>
          <w:szCs w:val="32"/>
        </w:rPr>
        <w:t>区一期、机场三期改扩建工程，着力打造东南沿海重要枢纽港和大型国际机场。加快国省道干线达标升级改造，建成</w:t>
      </w:r>
      <w:r>
        <w:rPr>
          <w:rFonts w:ascii="Times New Roman" w:hAnsi="Times New Roman" w:eastAsia="Times New Roman" w:cs="Times New Roman"/>
          <w:snapToGrid/>
          <w:spacing w:val="0"/>
          <w:w w:val="100"/>
          <w:kern w:val="32"/>
          <w:position w:val="0"/>
          <w:sz w:val="32"/>
          <w:szCs w:val="32"/>
        </w:rPr>
        <w:t>104</w:t>
      </w:r>
      <w:r>
        <w:rPr>
          <w:rFonts w:ascii="仿宋" w:hAnsi="仿宋" w:eastAsia="仿宋" w:cs="仿宋"/>
          <w:snapToGrid/>
          <w:spacing w:val="0"/>
          <w:w w:val="100"/>
          <w:kern w:val="32"/>
          <w:position w:val="0"/>
          <w:sz w:val="32"/>
          <w:szCs w:val="32"/>
        </w:rPr>
        <w:t>国道永嘉张堡至瓯海桐岭段、</w:t>
      </w:r>
      <w:r>
        <w:rPr>
          <w:rFonts w:ascii="Times New Roman" w:hAnsi="Times New Roman" w:eastAsia="Times New Roman" w:cs="Times New Roman"/>
          <w:snapToGrid/>
          <w:spacing w:val="0"/>
          <w:w w:val="100"/>
          <w:kern w:val="32"/>
          <w:position w:val="0"/>
          <w:sz w:val="32"/>
          <w:szCs w:val="32"/>
        </w:rPr>
        <w:t>228</w:t>
      </w:r>
      <w:r>
        <w:rPr>
          <w:rFonts w:ascii="仿宋" w:hAnsi="仿宋" w:eastAsia="仿宋" w:cs="仿宋"/>
          <w:snapToGrid/>
          <w:spacing w:val="0"/>
          <w:w w:val="100"/>
          <w:kern w:val="32"/>
          <w:position w:val="0"/>
          <w:sz w:val="32"/>
          <w:szCs w:val="32"/>
        </w:rPr>
        <w:t>国道乐清乐成至黄华段等。推进实施高质量建设</w:t>
      </w:r>
      <w:r>
        <w:rPr>
          <w:rFonts w:ascii="Times New Roman" w:hAnsi="Times New Roman" w:eastAsia="Times New Roman" w:cs="Times New Roman"/>
          <w:snapToGrid/>
          <w:spacing w:val="0"/>
          <w:w w:val="100"/>
          <w:kern w:val="32"/>
          <w:position w:val="0"/>
          <w:sz w:val="32"/>
          <w:szCs w:val="32"/>
        </w:rPr>
        <w:t>“</w:t>
      </w:r>
      <w:r>
        <w:rPr>
          <w:rFonts w:ascii="仿宋" w:hAnsi="仿宋" w:eastAsia="仿宋" w:cs="仿宋"/>
          <w:snapToGrid/>
          <w:spacing w:val="0"/>
          <w:w w:val="100"/>
          <w:kern w:val="32"/>
          <w:position w:val="0"/>
          <w:sz w:val="32"/>
          <w:szCs w:val="32"/>
        </w:rPr>
        <w:t>四好农村路</w:t>
      </w:r>
      <w:r>
        <w:rPr>
          <w:rFonts w:ascii="Times New Roman" w:hAnsi="Times New Roman" w:eastAsia="Times New Roman" w:cs="Times New Roman"/>
          <w:snapToGrid/>
          <w:spacing w:val="0"/>
          <w:w w:val="100"/>
          <w:kern w:val="32"/>
          <w:position w:val="0"/>
          <w:sz w:val="32"/>
          <w:szCs w:val="32"/>
        </w:rPr>
        <w:t>2.0”</w:t>
      </w:r>
      <w:r>
        <w:rPr>
          <w:rFonts w:ascii="仿宋" w:hAnsi="仿宋" w:eastAsia="仿宋" w:cs="仿宋"/>
          <w:snapToGrid/>
          <w:spacing w:val="0"/>
          <w:w w:val="100"/>
          <w:kern w:val="32"/>
          <w:position w:val="0"/>
          <w:sz w:val="32"/>
          <w:szCs w:val="32"/>
        </w:rPr>
        <w:t>版，实施新改建农村公路</w:t>
      </w:r>
      <w:r>
        <w:rPr>
          <w:rFonts w:ascii="Times New Roman" w:hAnsi="Times New Roman" w:eastAsia="Times New Roman" w:cs="Times New Roman"/>
          <w:snapToGrid/>
          <w:spacing w:val="0"/>
          <w:w w:val="100"/>
          <w:kern w:val="32"/>
          <w:position w:val="0"/>
          <w:sz w:val="32"/>
          <w:szCs w:val="32"/>
        </w:rPr>
        <w:t>260</w:t>
      </w:r>
      <w:r>
        <w:rPr>
          <w:rFonts w:ascii="仿宋" w:hAnsi="仿宋" w:eastAsia="仿宋" w:cs="仿宋"/>
          <w:snapToGrid/>
          <w:spacing w:val="0"/>
          <w:w w:val="100"/>
          <w:kern w:val="32"/>
          <w:position w:val="0"/>
          <w:sz w:val="32"/>
          <w:szCs w:val="32"/>
        </w:rPr>
        <w:t>公里、养护工程</w:t>
      </w:r>
      <w:r>
        <w:rPr>
          <w:rFonts w:ascii="Times New Roman" w:hAnsi="Times New Roman" w:eastAsia="Times New Roman" w:cs="Times New Roman"/>
          <w:snapToGrid/>
          <w:spacing w:val="0"/>
          <w:w w:val="100"/>
          <w:kern w:val="32"/>
          <w:position w:val="0"/>
          <w:sz w:val="32"/>
          <w:szCs w:val="32"/>
        </w:rPr>
        <w:t>700</w:t>
      </w:r>
      <w:r>
        <w:rPr>
          <w:rFonts w:ascii="仿宋" w:hAnsi="仿宋" w:eastAsia="仿宋" w:cs="仿宋"/>
          <w:snapToGrid/>
          <w:spacing w:val="0"/>
          <w:w w:val="100"/>
          <w:kern w:val="32"/>
          <w:position w:val="0"/>
          <w:sz w:val="32"/>
          <w:szCs w:val="32"/>
        </w:rPr>
        <w:t>公里。</w:t>
      </w:r>
      <w:r>
        <w:rPr>
          <w:rFonts w:hint="eastAsia" w:ascii="仿宋" w:hAnsi="仿宋" w:eastAsia="仿宋" w:cs="仿宋"/>
          <w:snapToGrid/>
          <w:spacing w:val="0"/>
          <w:w w:val="100"/>
          <w:kern w:val="32"/>
          <w:position w:val="0"/>
          <w:sz w:val="32"/>
          <w:szCs w:val="32"/>
          <w:lang w:eastAsia="zh-CN"/>
        </w:rPr>
        <w:t>（</w:t>
      </w:r>
      <w:r>
        <w:rPr>
          <w:rFonts w:hint="eastAsia" w:ascii="仿宋" w:hAnsi="仿宋" w:eastAsia="仿宋" w:cs="仿宋"/>
          <w:snapToGrid/>
          <w:spacing w:val="0"/>
          <w:w w:val="100"/>
          <w:kern w:val="32"/>
          <w:position w:val="0"/>
          <w:sz w:val="32"/>
          <w:szCs w:val="32"/>
          <w:lang w:val="en-US" w:eastAsia="zh-CN"/>
        </w:rPr>
        <w:t>责任单位：</w:t>
      </w:r>
      <w:r>
        <w:rPr>
          <w:rFonts w:hint="eastAsia" w:ascii="仿宋" w:hAnsi="仿宋" w:eastAsia="仿宋" w:cs="仿宋"/>
          <w:snapToGrid/>
          <w:color w:val="FF0000"/>
          <w:spacing w:val="0"/>
          <w:w w:val="100"/>
          <w:kern w:val="32"/>
          <w:position w:val="0"/>
          <w:sz w:val="32"/>
          <w:szCs w:val="32"/>
          <w:lang w:val="en-US" w:eastAsia="zh-CN"/>
        </w:rPr>
        <w:t>市自然资源与规划建设局</w:t>
      </w:r>
      <w:r>
        <w:rPr>
          <w:rFonts w:hint="eastAsia" w:ascii="仿宋" w:hAnsi="仿宋" w:eastAsia="仿宋" w:cs="仿宋"/>
          <w:snapToGrid/>
          <w:color w:val="auto"/>
          <w:spacing w:val="0"/>
          <w:w w:val="100"/>
          <w:kern w:val="32"/>
          <w:position w:val="0"/>
          <w:sz w:val="32"/>
          <w:szCs w:val="32"/>
          <w:lang w:val="en-US" w:eastAsia="zh-CN"/>
        </w:rPr>
        <w:t>、市交通运输公司</w:t>
      </w:r>
      <w:r>
        <w:rPr>
          <w:rFonts w:hint="eastAsia" w:ascii="仿宋" w:hAnsi="仿宋" w:eastAsia="仿宋" w:cs="仿宋"/>
          <w:snapToGrid/>
          <w:spacing w:val="0"/>
          <w:w w:val="100"/>
          <w:kern w:val="32"/>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spacing w:line="240" w:lineRule="auto"/>
        <w:ind w:left="6" w:firstLine="666"/>
        <w:textAlignment w:val="baseline"/>
        <w:rPr>
          <w:rFonts w:hint="eastAsia" w:ascii="仿宋" w:hAnsi="仿宋" w:eastAsia="仿宋" w:cs="仿宋"/>
          <w:snapToGrid/>
          <w:spacing w:val="0"/>
          <w:w w:val="100"/>
          <w:kern w:val="32"/>
          <w:position w:val="0"/>
          <w:sz w:val="32"/>
          <w:szCs w:val="32"/>
          <w:lang w:eastAsia="zh-CN"/>
        </w:rPr>
      </w:pPr>
      <w:r>
        <w:rPr>
          <w:rFonts w:ascii="Times New Roman" w:hAnsi="Times New Roman" w:eastAsia="Times New Roman" w:cs="Times New Roman"/>
          <w:snapToGrid/>
          <w:spacing w:val="0"/>
          <w:w w:val="100"/>
          <w:kern w:val="32"/>
          <w:position w:val="0"/>
          <w:sz w:val="32"/>
          <w:szCs w:val="32"/>
        </w:rPr>
        <w:t>16.</w:t>
      </w:r>
      <w:r>
        <w:rPr>
          <w:rFonts w:ascii="楷体" w:hAnsi="楷体" w:eastAsia="楷体" w:cs="楷体"/>
          <w:snapToGrid/>
          <w:spacing w:val="0"/>
          <w:w w:val="100"/>
          <w:kern w:val="32"/>
          <w:position w:val="0"/>
          <w:sz w:val="32"/>
          <w:szCs w:val="32"/>
        </w:rPr>
        <w:t>加快市政基础设施投资。</w:t>
      </w:r>
      <w:r>
        <w:rPr>
          <w:rFonts w:ascii="仿宋" w:hAnsi="仿宋" w:eastAsia="仿宋" w:cs="仿宋"/>
          <w:snapToGrid/>
          <w:spacing w:val="0"/>
          <w:w w:val="100"/>
          <w:kern w:val="32"/>
          <w:position w:val="0"/>
          <w:sz w:val="32"/>
          <w:szCs w:val="32"/>
        </w:rPr>
        <w:t>优化市政设施布局，补齐城市功能短板，加快城市快速路网建设</w:t>
      </w:r>
      <w:r>
        <w:rPr>
          <w:rFonts w:hint="eastAsia" w:ascii="仿宋" w:hAnsi="仿宋" w:eastAsia="仿宋" w:cs="仿宋"/>
          <w:snapToGrid/>
          <w:spacing w:val="0"/>
          <w:w w:val="100"/>
          <w:kern w:val="32"/>
          <w:position w:val="0"/>
          <w:sz w:val="32"/>
          <w:szCs w:val="32"/>
          <w:lang w:eastAsia="zh-CN"/>
        </w:rPr>
        <w:t>，</w:t>
      </w:r>
      <w:r>
        <w:rPr>
          <w:rFonts w:ascii="仿宋" w:hAnsi="仿宋" w:eastAsia="仿宋" w:cs="仿宋"/>
          <w:snapToGrid/>
          <w:spacing w:val="0"/>
          <w:w w:val="100"/>
          <w:kern w:val="32"/>
          <w:position w:val="0"/>
          <w:sz w:val="32"/>
          <w:szCs w:val="32"/>
        </w:rPr>
        <w:t>全力推进瓯越大道南段快速路、沿江快速路一期等重点工程，开工府东路过江通道和七都二桥。加快推进市区变电站迁改建和高压电力架空线路</w:t>
      </w:r>
      <w:r>
        <w:rPr>
          <w:rFonts w:ascii="Times New Roman" w:hAnsi="Times New Roman" w:eastAsia="Times New Roman" w:cs="Times New Roman"/>
          <w:snapToGrid/>
          <w:spacing w:val="0"/>
          <w:w w:val="100"/>
          <w:kern w:val="32"/>
          <w:position w:val="0"/>
          <w:sz w:val="32"/>
          <w:szCs w:val="32"/>
        </w:rPr>
        <w:t xml:space="preserve">“ </w:t>
      </w:r>
      <w:r>
        <w:rPr>
          <w:rFonts w:ascii="仿宋" w:hAnsi="仿宋" w:eastAsia="仿宋" w:cs="仿宋"/>
          <w:snapToGrid/>
          <w:spacing w:val="0"/>
          <w:w w:val="100"/>
          <w:kern w:val="32"/>
          <w:position w:val="0"/>
          <w:sz w:val="32"/>
          <w:szCs w:val="32"/>
        </w:rPr>
        <w:t>上改下</w:t>
      </w:r>
      <w:r>
        <w:rPr>
          <w:rFonts w:ascii="Times New Roman" w:hAnsi="Times New Roman" w:eastAsia="Times New Roman" w:cs="Times New Roman"/>
          <w:snapToGrid/>
          <w:spacing w:val="0"/>
          <w:w w:val="100"/>
          <w:kern w:val="32"/>
          <w:position w:val="0"/>
          <w:sz w:val="32"/>
          <w:szCs w:val="32"/>
        </w:rPr>
        <w:t xml:space="preserve">” </w:t>
      </w:r>
      <w:r>
        <w:rPr>
          <w:rFonts w:ascii="仿宋" w:hAnsi="仿宋" w:eastAsia="仿宋" w:cs="仿宋"/>
          <w:snapToGrid/>
          <w:spacing w:val="0"/>
          <w:w w:val="100"/>
          <w:kern w:val="32"/>
          <w:position w:val="0"/>
          <w:sz w:val="32"/>
          <w:szCs w:val="32"/>
        </w:rPr>
        <w:t>、市区道路综合整治、市政管网设施提标改造、污水垃圾处置、停车场库、绿道、断头路等项目建设。实施老旧小区改造项目</w:t>
      </w:r>
      <w:r>
        <w:rPr>
          <w:rFonts w:ascii="Times New Roman" w:hAnsi="Times New Roman" w:eastAsia="Times New Roman" w:cs="Times New Roman"/>
          <w:snapToGrid/>
          <w:spacing w:val="0"/>
          <w:w w:val="100"/>
          <w:kern w:val="32"/>
          <w:position w:val="0"/>
          <w:sz w:val="32"/>
          <w:szCs w:val="32"/>
        </w:rPr>
        <w:t>124</w:t>
      </w:r>
      <w:r>
        <w:rPr>
          <w:rFonts w:ascii="仿宋" w:hAnsi="仿宋" w:eastAsia="仿宋" w:cs="仿宋"/>
          <w:snapToGrid/>
          <w:spacing w:val="0"/>
          <w:w w:val="100"/>
          <w:kern w:val="32"/>
          <w:position w:val="0"/>
          <w:sz w:val="32"/>
          <w:szCs w:val="32"/>
        </w:rPr>
        <w:t xml:space="preserve">个，建设筹集保障性租赁住房 </w:t>
      </w:r>
      <w:r>
        <w:rPr>
          <w:rFonts w:ascii="Times New Roman" w:hAnsi="Times New Roman" w:eastAsia="Times New Roman" w:cs="Times New Roman"/>
          <w:snapToGrid/>
          <w:spacing w:val="0"/>
          <w:w w:val="100"/>
          <w:kern w:val="32"/>
          <w:position w:val="0"/>
          <w:sz w:val="32"/>
          <w:szCs w:val="32"/>
        </w:rPr>
        <w:t>4</w:t>
      </w:r>
      <w:r>
        <w:rPr>
          <w:rFonts w:ascii="仿宋" w:hAnsi="仿宋" w:eastAsia="仿宋" w:cs="仿宋"/>
          <w:snapToGrid/>
          <w:spacing w:val="0"/>
          <w:w w:val="100"/>
          <w:kern w:val="32"/>
          <w:position w:val="0"/>
          <w:sz w:val="32"/>
          <w:szCs w:val="32"/>
        </w:rPr>
        <w:t xml:space="preserve">万套（ 间）。加快未来社区建设，充分衔接城镇老旧小区改造和存量社区整合提升，联动城乡风貌整治提升，新增未来社区创建项目 </w:t>
      </w:r>
      <w:r>
        <w:rPr>
          <w:rFonts w:ascii="Times New Roman" w:hAnsi="Times New Roman" w:eastAsia="Times New Roman" w:cs="Times New Roman"/>
          <w:snapToGrid/>
          <w:spacing w:val="0"/>
          <w:w w:val="100"/>
          <w:kern w:val="32"/>
          <w:position w:val="0"/>
          <w:sz w:val="32"/>
          <w:szCs w:val="32"/>
        </w:rPr>
        <w:t>20</w:t>
      </w:r>
      <w:r>
        <w:rPr>
          <w:rFonts w:ascii="仿宋" w:hAnsi="仿宋" w:eastAsia="仿宋" w:cs="仿宋"/>
          <w:snapToGrid/>
          <w:spacing w:val="0"/>
          <w:w w:val="100"/>
          <w:kern w:val="32"/>
          <w:position w:val="0"/>
          <w:sz w:val="32"/>
          <w:szCs w:val="32"/>
        </w:rPr>
        <w:t>个。持续发力推进片区开发，优先实施滨江商务区、鹿城西部新城、龙湾东部新城、瓯海梧白新城等重点片区配套建设。加大力度推进多类型地下综合管廊建设</w:t>
      </w:r>
      <w:r>
        <w:rPr>
          <w:rFonts w:hint="eastAsia" w:ascii="仿宋" w:hAnsi="仿宋" w:eastAsia="仿宋" w:cs="仿宋"/>
          <w:snapToGrid/>
          <w:spacing w:val="0"/>
          <w:w w:val="100"/>
          <w:kern w:val="32"/>
          <w:position w:val="0"/>
          <w:sz w:val="32"/>
          <w:szCs w:val="32"/>
          <w:lang w:eastAsia="zh-CN"/>
        </w:rPr>
        <w:t>，</w:t>
      </w:r>
      <w:r>
        <w:rPr>
          <w:rFonts w:ascii="仿宋" w:hAnsi="仿宋" w:eastAsia="仿宋" w:cs="仿宋"/>
          <w:snapToGrid/>
          <w:spacing w:val="0"/>
          <w:w w:val="100"/>
          <w:kern w:val="32"/>
          <w:position w:val="0"/>
          <w:sz w:val="32"/>
          <w:szCs w:val="32"/>
        </w:rPr>
        <w:t>在城市老旧管网改造等工作中协同推进管廊建设，在城市新区根据功能需求积极发展干、支线管廊，合理布局管廊系统，统筹各类管线敷设，加快明确入廊收费政策，多措并举解决投融资受阻问题。纵深推进城市体检工作，完善评估机制，加快实施城市有机更新。</w:t>
      </w:r>
      <w:r>
        <w:rPr>
          <w:rFonts w:hint="eastAsia" w:ascii="仿宋" w:hAnsi="仿宋" w:eastAsia="仿宋" w:cs="仿宋"/>
          <w:snapToGrid/>
          <w:spacing w:val="0"/>
          <w:w w:val="100"/>
          <w:kern w:val="32"/>
          <w:position w:val="0"/>
          <w:sz w:val="32"/>
          <w:szCs w:val="32"/>
          <w:lang w:eastAsia="zh-CN"/>
        </w:rPr>
        <w:t>（</w:t>
      </w:r>
      <w:r>
        <w:rPr>
          <w:rFonts w:hint="eastAsia" w:ascii="仿宋" w:hAnsi="仿宋" w:eastAsia="仿宋" w:cs="仿宋"/>
          <w:snapToGrid/>
          <w:spacing w:val="0"/>
          <w:w w:val="100"/>
          <w:kern w:val="32"/>
          <w:position w:val="0"/>
          <w:sz w:val="32"/>
          <w:szCs w:val="32"/>
          <w:lang w:val="en-US" w:eastAsia="zh-CN"/>
        </w:rPr>
        <w:t>责任单位：</w:t>
      </w:r>
      <w:r>
        <w:rPr>
          <w:rFonts w:hint="eastAsia" w:ascii="仿宋" w:hAnsi="仿宋" w:eastAsia="仿宋" w:cs="仿宋"/>
          <w:snapToGrid/>
          <w:color w:val="FF0000"/>
          <w:spacing w:val="0"/>
          <w:w w:val="100"/>
          <w:kern w:val="32"/>
          <w:position w:val="0"/>
          <w:sz w:val="32"/>
          <w:szCs w:val="32"/>
          <w:lang w:val="en-US" w:eastAsia="zh-CN"/>
        </w:rPr>
        <w:t>市自然资源与规划建设局</w:t>
      </w:r>
      <w:r>
        <w:rPr>
          <w:rFonts w:hint="eastAsia" w:ascii="仿宋" w:hAnsi="仿宋" w:eastAsia="仿宋" w:cs="仿宋"/>
          <w:snapToGrid/>
          <w:color w:val="auto"/>
          <w:spacing w:val="0"/>
          <w:w w:val="100"/>
          <w:kern w:val="32"/>
          <w:position w:val="0"/>
          <w:sz w:val="32"/>
          <w:szCs w:val="32"/>
          <w:lang w:val="en-US" w:eastAsia="zh-CN"/>
        </w:rPr>
        <w:t>、市综合行政执法局、市城市建设发展有限公司</w:t>
      </w:r>
      <w:r>
        <w:rPr>
          <w:rFonts w:hint="eastAsia" w:ascii="仿宋" w:hAnsi="仿宋" w:eastAsia="仿宋" w:cs="仿宋"/>
          <w:snapToGrid/>
          <w:spacing w:val="0"/>
          <w:w w:val="100"/>
          <w:kern w:val="32"/>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spacing w:line="240" w:lineRule="auto"/>
        <w:ind w:left="6" w:firstLine="666"/>
        <w:textAlignment w:val="baseline"/>
        <w:rPr>
          <w:rFonts w:hint="eastAsia" w:ascii="仿宋" w:hAnsi="仿宋" w:eastAsia="仿宋" w:cs="仿宋"/>
          <w:snapToGrid/>
          <w:color w:val="auto"/>
          <w:spacing w:val="0"/>
          <w:w w:val="100"/>
          <w:kern w:val="32"/>
          <w:position w:val="0"/>
          <w:sz w:val="32"/>
          <w:szCs w:val="32"/>
          <w:lang w:val="en-US" w:eastAsia="zh-CN"/>
        </w:rPr>
      </w:pPr>
      <w:r>
        <w:rPr>
          <w:rFonts w:ascii="Times New Roman" w:hAnsi="Times New Roman" w:eastAsia="Times New Roman" w:cs="Times New Roman"/>
          <w:snapToGrid/>
          <w:spacing w:val="0"/>
          <w:w w:val="100"/>
          <w:kern w:val="32"/>
          <w:position w:val="0"/>
          <w:sz w:val="32"/>
          <w:szCs w:val="32"/>
        </w:rPr>
        <w:t>17.</w:t>
      </w:r>
      <w:r>
        <w:rPr>
          <w:rFonts w:ascii="楷体" w:hAnsi="楷体" w:eastAsia="楷体" w:cs="楷体"/>
          <w:snapToGrid/>
          <w:spacing w:val="0"/>
          <w:w w:val="100"/>
          <w:kern w:val="32"/>
          <w:position w:val="0"/>
          <w:sz w:val="32"/>
          <w:szCs w:val="32"/>
        </w:rPr>
        <w:t>稳定扩大民间投资。</w:t>
      </w:r>
      <w:r>
        <w:rPr>
          <w:rFonts w:ascii="仿宋" w:hAnsi="仿宋" w:eastAsia="仿宋" w:cs="仿宋"/>
          <w:snapToGrid/>
          <w:spacing w:val="0"/>
          <w:w w:val="100"/>
          <w:kern w:val="32"/>
          <w:position w:val="0"/>
          <w:sz w:val="32"/>
          <w:szCs w:val="32"/>
        </w:rPr>
        <w:t>持续优化营商环境，提高民间投资审批服务效率，激发民间投资活力。同等对待各类投资主体，鼓励、支持民间资本进入法律法规未明确禁止准入的行业和领域。加快实施</w:t>
      </w:r>
      <w:r>
        <w:rPr>
          <w:rFonts w:ascii="Times New Roman" w:hAnsi="Times New Roman" w:eastAsia="Times New Roman" w:cs="Times New Roman"/>
          <w:snapToGrid/>
          <w:spacing w:val="0"/>
          <w:w w:val="100"/>
          <w:kern w:val="32"/>
          <w:position w:val="0"/>
          <w:sz w:val="32"/>
          <w:szCs w:val="32"/>
        </w:rPr>
        <w:t>“3121”</w:t>
      </w:r>
      <w:r>
        <w:rPr>
          <w:rFonts w:ascii="仿宋" w:hAnsi="仿宋" w:eastAsia="仿宋" w:cs="仿宋"/>
          <w:snapToGrid/>
          <w:spacing w:val="0"/>
          <w:w w:val="100"/>
          <w:kern w:val="32"/>
          <w:position w:val="0"/>
          <w:sz w:val="32"/>
          <w:szCs w:val="32"/>
        </w:rPr>
        <w:t>投资专项行动，</w:t>
      </w:r>
      <w:r>
        <w:rPr>
          <w:rFonts w:ascii="仿宋" w:hAnsi="仿宋" w:eastAsia="仿宋" w:cs="仿宋"/>
          <w:snapToGrid/>
          <w:spacing w:val="0"/>
          <w:w w:val="100"/>
          <w:kern w:val="32"/>
          <w:position w:val="0"/>
          <w:sz w:val="32"/>
          <w:szCs w:val="32"/>
          <w:highlight w:val="yellow"/>
        </w:rPr>
        <w:t>谋划招引省市县长工程项目2个，其中落地率 1个以上，</w:t>
      </w:r>
      <w:r>
        <w:rPr>
          <w:rFonts w:ascii="仿宋" w:hAnsi="仿宋" w:eastAsia="仿宋" w:cs="仿宋"/>
          <w:snapToGrid/>
          <w:spacing w:val="0"/>
          <w:w w:val="100"/>
          <w:kern w:val="32"/>
          <w:position w:val="0"/>
          <w:sz w:val="32"/>
          <w:szCs w:val="32"/>
        </w:rPr>
        <w:t xml:space="preserve">吸引更多社会资本参与重大项目建设。 积极探索基础设施领域不动产投资信托基金（ </w:t>
      </w:r>
      <w:r>
        <w:rPr>
          <w:rFonts w:ascii="Times New Roman" w:hAnsi="Times New Roman" w:eastAsia="Times New Roman" w:cs="Times New Roman"/>
          <w:snapToGrid/>
          <w:spacing w:val="0"/>
          <w:w w:val="100"/>
          <w:kern w:val="32"/>
          <w:position w:val="0"/>
          <w:sz w:val="32"/>
          <w:szCs w:val="32"/>
        </w:rPr>
        <w:t xml:space="preserve">REITs </w:t>
      </w:r>
      <w:r>
        <w:rPr>
          <w:rFonts w:ascii="仿宋" w:hAnsi="仿宋" w:eastAsia="仿宋" w:cs="仿宋"/>
          <w:snapToGrid/>
          <w:spacing w:val="0"/>
          <w:w w:val="100"/>
          <w:kern w:val="32"/>
          <w:position w:val="0"/>
          <w:sz w:val="32"/>
          <w:szCs w:val="32"/>
        </w:rPr>
        <w:t>），鼓励民营企业参与盘活国有存量资产。鼓励有条件的地方采取与周边土地、资源、产业等一体化开发，配置经营性资源或与经营性较强的项目组合开发经营等方式，引导民间投资参与市政、交通等领 域项目建设。积极组织申报省重大产业项目计划，破解重大产业项目用地制约和重点增资扩产项目用地制约</w:t>
      </w:r>
      <w:r>
        <w:rPr>
          <w:rFonts w:hint="eastAsia" w:ascii="仿宋" w:hAnsi="仿宋" w:eastAsia="仿宋" w:cs="仿宋"/>
          <w:snapToGrid/>
          <w:spacing w:val="0"/>
          <w:w w:val="100"/>
          <w:kern w:val="32"/>
          <w:position w:val="0"/>
          <w:sz w:val="32"/>
          <w:szCs w:val="32"/>
          <w:lang w:eastAsia="zh-CN"/>
        </w:rPr>
        <w:t>。</w:t>
      </w:r>
      <w:r>
        <w:rPr>
          <w:rFonts w:ascii="仿宋" w:hAnsi="仿宋" w:eastAsia="仿宋" w:cs="仿宋"/>
          <w:snapToGrid/>
          <w:spacing w:val="0"/>
          <w:w w:val="100"/>
          <w:kern w:val="32"/>
          <w:position w:val="0"/>
          <w:sz w:val="32"/>
          <w:szCs w:val="32"/>
        </w:rPr>
        <w:t>支持实体经济高质量发展。</w:t>
      </w:r>
      <w:r>
        <w:rPr>
          <w:rFonts w:hint="eastAsia" w:ascii="仿宋" w:hAnsi="仿宋" w:eastAsia="仿宋" w:cs="仿宋"/>
          <w:snapToGrid/>
          <w:spacing w:val="0"/>
          <w:w w:val="100"/>
          <w:kern w:val="32"/>
          <w:position w:val="0"/>
          <w:sz w:val="32"/>
          <w:szCs w:val="32"/>
          <w:lang w:eastAsia="zh-CN"/>
        </w:rPr>
        <w:t>（</w:t>
      </w:r>
      <w:r>
        <w:rPr>
          <w:rFonts w:hint="eastAsia" w:ascii="仿宋" w:hAnsi="仿宋" w:eastAsia="仿宋" w:cs="仿宋"/>
          <w:snapToGrid/>
          <w:spacing w:val="0"/>
          <w:w w:val="100"/>
          <w:kern w:val="32"/>
          <w:position w:val="0"/>
          <w:sz w:val="32"/>
          <w:szCs w:val="32"/>
          <w:lang w:val="en-US" w:eastAsia="zh-CN"/>
        </w:rPr>
        <w:t>责任单位：</w:t>
      </w:r>
      <w:r>
        <w:rPr>
          <w:rFonts w:hint="eastAsia" w:ascii="仿宋" w:hAnsi="仿宋" w:eastAsia="仿宋" w:cs="仿宋"/>
          <w:snapToGrid/>
          <w:color w:val="FF0000"/>
          <w:spacing w:val="0"/>
          <w:w w:val="100"/>
          <w:kern w:val="32"/>
          <w:position w:val="0"/>
          <w:sz w:val="32"/>
          <w:szCs w:val="32"/>
          <w:lang w:val="en-US" w:eastAsia="zh-CN"/>
        </w:rPr>
        <w:t>市经发局-发改口</w:t>
      </w:r>
      <w:r>
        <w:rPr>
          <w:rFonts w:hint="eastAsia" w:ascii="仿宋" w:hAnsi="仿宋" w:eastAsia="仿宋" w:cs="仿宋"/>
          <w:snapToGrid/>
          <w:color w:val="auto"/>
          <w:spacing w:val="0"/>
          <w:w w:val="100"/>
          <w:kern w:val="32"/>
          <w:position w:val="0"/>
          <w:sz w:val="32"/>
          <w:szCs w:val="32"/>
          <w:lang w:val="en-US" w:eastAsia="zh-CN"/>
        </w:rPr>
        <w:t>、市财政局、市国有资本运营公司）</w:t>
      </w:r>
    </w:p>
    <w:p>
      <w:pPr>
        <w:keepNext w:val="0"/>
        <w:keepLines w:val="0"/>
        <w:pageBreakBefore w:val="0"/>
        <w:widowControl/>
        <w:kinsoku w:val="0"/>
        <w:wordWrap/>
        <w:overflowPunct/>
        <w:topLinePunct w:val="0"/>
        <w:autoSpaceDE w:val="0"/>
        <w:autoSpaceDN w:val="0"/>
        <w:bidi w:val="0"/>
        <w:adjustRightInd w:val="0"/>
        <w:snapToGrid/>
        <w:spacing w:line="240" w:lineRule="auto"/>
        <w:ind w:firstLine="662"/>
        <w:textAlignment w:val="baseline"/>
        <w:rPr>
          <w:rFonts w:ascii="黑体" w:hAnsi="黑体" w:eastAsia="黑体" w:cs="黑体"/>
          <w:snapToGrid/>
          <w:spacing w:val="0"/>
          <w:w w:val="100"/>
          <w:kern w:val="32"/>
          <w:position w:val="0"/>
          <w:sz w:val="32"/>
          <w:szCs w:val="32"/>
        </w:rPr>
      </w:pPr>
      <w:r>
        <w:rPr>
          <w:rFonts w:ascii="黑体" w:hAnsi="黑体" w:eastAsia="黑体" w:cs="黑体"/>
          <w:snapToGrid/>
          <w:spacing w:val="0"/>
          <w:w w:val="100"/>
          <w:kern w:val="32"/>
          <w:position w:val="0"/>
          <w:sz w:val="32"/>
          <w:szCs w:val="32"/>
        </w:rPr>
        <w:t>四、促进消费措施（</w:t>
      </w:r>
      <w:r>
        <w:rPr>
          <w:rFonts w:ascii="Times New Roman" w:hAnsi="Times New Roman" w:eastAsia="Times New Roman" w:cs="Times New Roman"/>
          <w:snapToGrid/>
          <w:spacing w:val="0"/>
          <w:w w:val="100"/>
          <w:kern w:val="32"/>
          <w:position w:val="0"/>
          <w:sz w:val="32"/>
          <w:szCs w:val="32"/>
        </w:rPr>
        <w:t>4</w:t>
      </w:r>
      <w:r>
        <w:rPr>
          <w:rFonts w:ascii="黑体" w:hAnsi="黑体" w:eastAsia="黑体" w:cs="黑体"/>
          <w:snapToGrid/>
          <w:spacing w:val="0"/>
          <w:w w:val="100"/>
          <w:kern w:val="32"/>
          <w:position w:val="0"/>
          <w:sz w:val="32"/>
          <w:szCs w:val="32"/>
        </w:rPr>
        <w:t>项）</w:t>
      </w:r>
    </w:p>
    <w:p>
      <w:pPr>
        <w:keepNext w:val="0"/>
        <w:keepLines w:val="0"/>
        <w:pageBreakBefore w:val="0"/>
        <w:widowControl/>
        <w:kinsoku w:val="0"/>
        <w:wordWrap/>
        <w:overflowPunct/>
        <w:topLinePunct w:val="0"/>
        <w:autoSpaceDE w:val="0"/>
        <w:autoSpaceDN w:val="0"/>
        <w:bidi w:val="0"/>
        <w:adjustRightInd w:val="0"/>
        <w:snapToGrid/>
        <w:spacing w:line="240" w:lineRule="auto"/>
        <w:ind w:left="6" w:firstLine="666"/>
        <w:textAlignment w:val="baseline"/>
        <w:rPr>
          <w:rFonts w:hint="eastAsia" w:ascii="仿宋" w:hAnsi="仿宋" w:eastAsia="仿宋" w:cs="仿宋"/>
          <w:snapToGrid/>
          <w:spacing w:val="0"/>
          <w:w w:val="100"/>
          <w:kern w:val="32"/>
          <w:position w:val="0"/>
          <w:sz w:val="32"/>
          <w:szCs w:val="32"/>
          <w:lang w:eastAsia="zh-CN"/>
        </w:rPr>
      </w:pPr>
      <w:r>
        <w:rPr>
          <w:rFonts w:ascii="Times New Roman" w:hAnsi="Times New Roman" w:eastAsia="Times New Roman" w:cs="Times New Roman"/>
          <w:snapToGrid/>
          <w:spacing w:val="0"/>
          <w:w w:val="100"/>
          <w:kern w:val="32"/>
          <w:position w:val="0"/>
          <w:sz w:val="32"/>
          <w:szCs w:val="32"/>
        </w:rPr>
        <w:t>18.</w:t>
      </w:r>
      <w:r>
        <w:rPr>
          <w:rFonts w:ascii="楷体" w:hAnsi="楷体" w:eastAsia="楷体" w:cs="楷体"/>
          <w:snapToGrid/>
          <w:spacing w:val="0"/>
          <w:w w:val="100"/>
          <w:kern w:val="32"/>
          <w:position w:val="0"/>
          <w:sz w:val="32"/>
          <w:szCs w:val="32"/>
        </w:rPr>
        <w:t>发挥消费券杠杆撬动作用。</w:t>
      </w:r>
      <w:r>
        <w:rPr>
          <w:rFonts w:ascii="仿宋" w:hAnsi="仿宋" w:eastAsia="仿宋" w:cs="仿宋"/>
          <w:snapToGrid/>
          <w:spacing w:val="0"/>
          <w:w w:val="100"/>
          <w:kern w:val="32"/>
          <w:position w:val="0"/>
          <w:sz w:val="32"/>
          <w:szCs w:val="32"/>
        </w:rPr>
        <w:t>结合本地消费特点，采取市区统一、市县联动，突出权重商品消费和数字人民币推广，统筹有序发放汽车、电动自行车、家电、电子产品、家居家装、餐饮住宿、文旅体育等各类消费券。出台温州市民本地游惠民奖补政策，通过引导市民本地游拉动景区、酒店、民宿、餐饮、交通等消费。</w:t>
      </w:r>
      <w:r>
        <w:rPr>
          <w:rFonts w:hint="eastAsia" w:ascii="仿宋" w:hAnsi="仿宋" w:eastAsia="仿宋" w:cs="仿宋"/>
          <w:snapToGrid/>
          <w:spacing w:val="0"/>
          <w:w w:val="100"/>
          <w:kern w:val="32"/>
          <w:position w:val="0"/>
          <w:sz w:val="32"/>
          <w:szCs w:val="32"/>
          <w:lang w:eastAsia="zh-CN"/>
        </w:rPr>
        <w:t>（</w:t>
      </w:r>
      <w:r>
        <w:rPr>
          <w:rFonts w:hint="eastAsia" w:ascii="仿宋" w:hAnsi="仿宋" w:eastAsia="仿宋" w:cs="仿宋"/>
          <w:snapToGrid/>
          <w:spacing w:val="0"/>
          <w:w w:val="100"/>
          <w:kern w:val="32"/>
          <w:position w:val="0"/>
          <w:sz w:val="32"/>
          <w:szCs w:val="32"/>
          <w:lang w:val="en-US" w:eastAsia="zh-CN"/>
        </w:rPr>
        <w:t>责任单位：</w:t>
      </w:r>
      <w:r>
        <w:rPr>
          <w:rFonts w:hint="eastAsia" w:ascii="仿宋" w:hAnsi="仿宋" w:eastAsia="仿宋" w:cs="仿宋"/>
          <w:snapToGrid/>
          <w:color w:val="FF0000"/>
          <w:spacing w:val="0"/>
          <w:w w:val="100"/>
          <w:kern w:val="32"/>
          <w:position w:val="0"/>
          <w:sz w:val="32"/>
          <w:szCs w:val="32"/>
          <w:lang w:val="en-US" w:eastAsia="zh-CN"/>
        </w:rPr>
        <w:t>市经发局-商贸口</w:t>
      </w:r>
      <w:r>
        <w:rPr>
          <w:rFonts w:hint="eastAsia" w:ascii="仿宋" w:hAnsi="仿宋" w:eastAsia="仿宋" w:cs="仿宋"/>
          <w:snapToGrid/>
          <w:color w:val="auto"/>
          <w:spacing w:val="0"/>
          <w:w w:val="100"/>
          <w:kern w:val="32"/>
          <w:position w:val="0"/>
          <w:sz w:val="32"/>
          <w:szCs w:val="32"/>
          <w:lang w:val="en-US" w:eastAsia="zh-CN"/>
        </w:rPr>
        <w:t>、金融口、市财政局、市委宣传统战部、市市场监督管理局、市社会事业局、人行苍南县支行、市国有资本运营公司）</w:t>
      </w:r>
    </w:p>
    <w:p>
      <w:pPr>
        <w:keepNext w:val="0"/>
        <w:keepLines w:val="0"/>
        <w:pageBreakBefore w:val="0"/>
        <w:widowControl/>
        <w:kinsoku w:val="0"/>
        <w:wordWrap/>
        <w:overflowPunct/>
        <w:topLinePunct w:val="0"/>
        <w:autoSpaceDE w:val="0"/>
        <w:autoSpaceDN w:val="0"/>
        <w:bidi w:val="0"/>
        <w:adjustRightInd w:val="0"/>
        <w:snapToGrid/>
        <w:spacing w:line="240" w:lineRule="auto"/>
        <w:ind w:left="6" w:firstLine="666"/>
        <w:textAlignment w:val="baseline"/>
        <w:rPr>
          <w:rFonts w:hint="eastAsia" w:ascii="仿宋" w:hAnsi="仿宋" w:eastAsia="仿宋" w:cs="仿宋"/>
          <w:snapToGrid/>
          <w:color w:val="auto"/>
          <w:spacing w:val="0"/>
          <w:w w:val="100"/>
          <w:kern w:val="32"/>
          <w:position w:val="0"/>
          <w:sz w:val="32"/>
          <w:szCs w:val="32"/>
          <w:lang w:val="en-US" w:eastAsia="zh-CN"/>
        </w:rPr>
      </w:pPr>
      <w:r>
        <w:rPr>
          <w:rFonts w:ascii="Times New Roman" w:hAnsi="Times New Roman" w:eastAsia="Times New Roman" w:cs="Times New Roman"/>
          <w:snapToGrid/>
          <w:spacing w:val="0"/>
          <w:w w:val="100"/>
          <w:kern w:val="32"/>
          <w:position w:val="0"/>
          <w:sz w:val="32"/>
          <w:szCs w:val="32"/>
        </w:rPr>
        <w:t>19.</w:t>
      </w:r>
      <w:r>
        <w:rPr>
          <w:rFonts w:ascii="楷体" w:hAnsi="楷体" w:eastAsia="楷体" w:cs="楷体"/>
          <w:snapToGrid/>
          <w:spacing w:val="0"/>
          <w:w w:val="100"/>
          <w:kern w:val="32"/>
          <w:position w:val="0"/>
          <w:sz w:val="32"/>
          <w:szCs w:val="32"/>
        </w:rPr>
        <w:t xml:space="preserve">稳定增加大宗消费政策支持。 </w:t>
      </w:r>
      <w:r>
        <w:rPr>
          <w:rFonts w:ascii="仿宋" w:hAnsi="仿宋" w:eastAsia="仿宋" w:cs="仿宋"/>
          <w:snapToGrid/>
          <w:spacing w:val="0"/>
          <w:w w:val="100"/>
          <w:kern w:val="32"/>
          <w:position w:val="0"/>
          <w:sz w:val="32"/>
          <w:szCs w:val="32"/>
        </w:rPr>
        <w:t>落实好对一定排量以下乘用车减征车辆购置税的支持政策。完善废旧家电回收处理体系，落实备案非标电动自行车淘汰置换补贴政策。</w:t>
      </w:r>
      <w:r>
        <w:rPr>
          <w:rFonts w:hint="eastAsia" w:ascii="仿宋" w:hAnsi="仿宋" w:eastAsia="仿宋" w:cs="仿宋"/>
          <w:snapToGrid/>
          <w:spacing w:val="0"/>
          <w:w w:val="100"/>
          <w:kern w:val="32"/>
          <w:position w:val="0"/>
          <w:sz w:val="32"/>
          <w:szCs w:val="32"/>
          <w:lang w:eastAsia="zh-CN"/>
        </w:rPr>
        <w:t>（</w:t>
      </w:r>
      <w:r>
        <w:rPr>
          <w:rFonts w:hint="eastAsia" w:ascii="仿宋" w:hAnsi="仿宋" w:eastAsia="仿宋" w:cs="仿宋"/>
          <w:snapToGrid/>
          <w:spacing w:val="0"/>
          <w:w w:val="100"/>
          <w:kern w:val="32"/>
          <w:position w:val="0"/>
          <w:sz w:val="32"/>
          <w:szCs w:val="32"/>
          <w:lang w:val="en-US" w:eastAsia="zh-CN"/>
        </w:rPr>
        <w:t>责任单位：</w:t>
      </w:r>
      <w:r>
        <w:rPr>
          <w:rFonts w:hint="eastAsia" w:ascii="仿宋" w:hAnsi="仿宋" w:eastAsia="仿宋" w:cs="仿宋"/>
          <w:snapToGrid/>
          <w:color w:val="FF0000"/>
          <w:spacing w:val="0"/>
          <w:w w:val="100"/>
          <w:kern w:val="32"/>
          <w:position w:val="0"/>
          <w:sz w:val="32"/>
          <w:szCs w:val="32"/>
          <w:lang w:val="en-US" w:eastAsia="zh-CN"/>
        </w:rPr>
        <w:t>市经发局-发改口</w:t>
      </w:r>
      <w:r>
        <w:rPr>
          <w:rFonts w:hint="eastAsia" w:ascii="仿宋" w:hAnsi="仿宋" w:eastAsia="仿宋" w:cs="仿宋"/>
          <w:snapToGrid/>
          <w:color w:val="auto"/>
          <w:spacing w:val="0"/>
          <w:w w:val="100"/>
          <w:kern w:val="32"/>
          <w:position w:val="0"/>
          <w:sz w:val="32"/>
          <w:szCs w:val="32"/>
          <w:lang w:val="en-US" w:eastAsia="zh-CN"/>
        </w:rPr>
        <w:t>、经信口、商贸口、市公安局、市财政局、市自然资源与规划建设局、市市场监督管理局、市税务局）</w:t>
      </w:r>
    </w:p>
    <w:p>
      <w:pPr>
        <w:keepNext w:val="0"/>
        <w:keepLines w:val="0"/>
        <w:pageBreakBefore w:val="0"/>
        <w:widowControl/>
        <w:kinsoku w:val="0"/>
        <w:wordWrap/>
        <w:overflowPunct/>
        <w:topLinePunct w:val="0"/>
        <w:autoSpaceDE w:val="0"/>
        <w:autoSpaceDN w:val="0"/>
        <w:bidi w:val="0"/>
        <w:adjustRightInd w:val="0"/>
        <w:snapToGrid/>
        <w:spacing w:line="240" w:lineRule="auto"/>
        <w:ind w:left="6" w:firstLine="666"/>
        <w:textAlignment w:val="baseline"/>
        <w:rPr>
          <w:rFonts w:hint="eastAsia" w:ascii="仿宋" w:hAnsi="仿宋" w:eastAsia="仿宋" w:cs="仿宋"/>
          <w:snapToGrid/>
          <w:color w:val="auto"/>
          <w:spacing w:val="0"/>
          <w:w w:val="100"/>
          <w:kern w:val="32"/>
          <w:position w:val="0"/>
          <w:sz w:val="32"/>
          <w:szCs w:val="32"/>
          <w:lang w:val="en-US" w:eastAsia="zh-CN"/>
        </w:rPr>
      </w:pPr>
      <w:r>
        <w:rPr>
          <w:rFonts w:ascii="Times New Roman" w:hAnsi="Times New Roman" w:eastAsia="Times New Roman" w:cs="Times New Roman"/>
          <w:snapToGrid/>
          <w:spacing w:val="0"/>
          <w:w w:val="100"/>
          <w:kern w:val="32"/>
          <w:position w:val="0"/>
          <w:sz w:val="32"/>
          <w:szCs w:val="32"/>
        </w:rPr>
        <w:t>20.</w:t>
      </w:r>
      <w:r>
        <w:rPr>
          <w:rFonts w:ascii="楷体" w:hAnsi="楷体" w:eastAsia="楷体" w:cs="楷体"/>
          <w:snapToGrid/>
          <w:spacing w:val="0"/>
          <w:w w:val="100"/>
          <w:kern w:val="32"/>
          <w:position w:val="0"/>
          <w:sz w:val="32"/>
          <w:szCs w:val="32"/>
        </w:rPr>
        <w:t>强化新型消费政策引领。</w:t>
      </w:r>
      <w:r>
        <w:rPr>
          <w:rFonts w:ascii="仿宋" w:hAnsi="仿宋" w:eastAsia="仿宋" w:cs="仿宋"/>
          <w:snapToGrid/>
          <w:spacing w:val="0"/>
          <w:w w:val="100"/>
          <w:kern w:val="32"/>
          <w:position w:val="0"/>
          <w:sz w:val="32"/>
          <w:szCs w:val="32"/>
        </w:rPr>
        <w:t xml:space="preserve">持续研究优化新能源汽车推广应用支持政策，推动新能源汽车销售占比 </w:t>
      </w:r>
      <w:r>
        <w:rPr>
          <w:rFonts w:ascii="Times New Roman" w:hAnsi="Times New Roman" w:eastAsia="Times New Roman" w:cs="Times New Roman"/>
          <w:snapToGrid/>
          <w:spacing w:val="0"/>
          <w:w w:val="100"/>
          <w:kern w:val="32"/>
          <w:position w:val="0"/>
          <w:sz w:val="32"/>
          <w:szCs w:val="32"/>
        </w:rPr>
        <w:t>25%</w:t>
      </w:r>
      <w:r>
        <w:rPr>
          <w:rFonts w:ascii="仿宋" w:hAnsi="仿宋" w:eastAsia="仿宋" w:cs="仿宋"/>
          <w:snapToGrid/>
          <w:spacing w:val="0"/>
          <w:w w:val="100"/>
          <w:kern w:val="32"/>
          <w:position w:val="0"/>
          <w:sz w:val="32"/>
          <w:szCs w:val="32"/>
        </w:rPr>
        <w:t>以上。在机动车交强险受理环节，对符合条件的节能新能源车辆第一时间给予车船税减免优惠。</w:t>
      </w:r>
      <w:r>
        <w:rPr>
          <w:rFonts w:hint="eastAsia" w:ascii="仿宋" w:hAnsi="仿宋" w:eastAsia="仿宋" w:cs="仿宋"/>
          <w:snapToGrid/>
          <w:spacing w:val="0"/>
          <w:w w:val="100"/>
          <w:kern w:val="32"/>
          <w:position w:val="0"/>
          <w:sz w:val="32"/>
          <w:szCs w:val="32"/>
          <w:lang w:eastAsia="zh-CN"/>
        </w:rPr>
        <w:t>（</w:t>
      </w:r>
      <w:r>
        <w:rPr>
          <w:rFonts w:hint="eastAsia" w:ascii="仿宋" w:hAnsi="仿宋" w:eastAsia="仿宋" w:cs="仿宋"/>
          <w:snapToGrid/>
          <w:spacing w:val="0"/>
          <w:w w:val="100"/>
          <w:kern w:val="32"/>
          <w:position w:val="0"/>
          <w:sz w:val="32"/>
          <w:szCs w:val="32"/>
          <w:lang w:val="en-US" w:eastAsia="zh-CN"/>
        </w:rPr>
        <w:t>责任单位：</w:t>
      </w:r>
      <w:r>
        <w:rPr>
          <w:rFonts w:hint="eastAsia" w:ascii="仿宋" w:hAnsi="仿宋" w:eastAsia="仿宋" w:cs="仿宋"/>
          <w:snapToGrid/>
          <w:color w:val="FF0000"/>
          <w:spacing w:val="0"/>
          <w:w w:val="100"/>
          <w:kern w:val="32"/>
          <w:position w:val="0"/>
          <w:sz w:val="32"/>
          <w:szCs w:val="32"/>
          <w:lang w:val="en-US" w:eastAsia="zh-CN"/>
        </w:rPr>
        <w:t>市经发局-商贸口</w:t>
      </w:r>
      <w:r>
        <w:rPr>
          <w:rFonts w:hint="eastAsia" w:ascii="仿宋" w:hAnsi="仿宋" w:eastAsia="仿宋" w:cs="仿宋"/>
          <w:snapToGrid/>
          <w:color w:val="auto"/>
          <w:spacing w:val="0"/>
          <w:w w:val="100"/>
          <w:kern w:val="32"/>
          <w:position w:val="0"/>
          <w:sz w:val="32"/>
          <w:szCs w:val="32"/>
          <w:lang w:val="en-US" w:eastAsia="zh-CN"/>
        </w:rPr>
        <w:t>、发改口、市公安局、市财政局、市委市府办&lt;市机关事务管理中心&gt;、市税务局）</w:t>
      </w:r>
    </w:p>
    <w:p>
      <w:pPr>
        <w:keepNext w:val="0"/>
        <w:keepLines w:val="0"/>
        <w:pageBreakBefore w:val="0"/>
        <w:widowControl/>
        <w:kinsoku w:val="0"/>
        <w:wordWrap/>
        <w:overflowPunct/>
        <w:topLinePunct w:val="0"/>
        <w:autoSpaceDE w:val="0"/>
        <w:autoSpaceDN w:val="0"/>
        <w:bidi w:val="0"/>
        <w:adjustRightInd w:val="0"/>
        <w:snapToGrid/>
        <w:spacing w:line="240" w:lineRule="auto"/>
        <w:ind w:left="6" w:firstLine="666"/>
        <w:textAlignment w:val="baseline"/>
        <w:rPr>
          <w:rFonts w:hint="eastAsia" w:ascii="仿宋" w:hAnsi="仿宋" w:eastAsia="仿宋" w:cs="仿宋"/>
          <w:snapToGrid/>
          <w:color w:val="auto"/>
          <w:spacing w:val="0"/>
          <w:w w:val="100"/>
          <w:kern w:val="32"/>
          <w:position w:val="0"/>
          <w:sz w:val="32"/>
          <w:szCs w:val="32"/>
          <w:lang w:val="en-US" w:eastAsia="zh-CN"/>
        </w:rPr>
      </w:pPr>
      <w:r>
        <w:rPr>
          <w:rFonts w:ascii="Times New Roman" w:hAnsi="Times New Roman" w:eastAsia="Times New Roman" w:cs="Times New Roman"/>
          <w:snapToGrid/>
          <w:spacing w:val="0"/>
          <w:w w:val="100"/>
          <w:kern w:val="32"/>
          <w:position w:val="0"/>
          <w:sz w:val="32"/>
          <w:szCs w:val="32"/>
        </w:rPr>
        <w:t>21.</w:t>
      </w:r>
      <w:r>
        <w:rPr>
          <w:rFonts w:ascii="楷体" w:hAnsi="楷体" w:eastAsia="楷体" w:cs="楷体"/>
          <w:snapToGrid/>
          <w:spacing w:val="0"/>
          <w:w w:val="100"/>
          <w:kern w:val="32"/>
          <w:position w:val="0"/>
          <w:sz w:val="32"/>
          <w:szCs w:val="32"/>
        </w:rPr>
        <w:t>促进平台经济规范健康发展。</w:t>
      </w:r>
      <w:r>
        <w:rPr>
          <w:rFonts w:ascii="仿宋" w:hAnsi="仿宋" w:eastAsia="仿宋" w:cs="仿宋"/>
          <w:snapToGrid/>
          <w:spacing w:val="0"/>
          <w:w w:val="100"/>
          <w:kern w:val="32"/>
          <w:position w:val="0"/>
          <w:sz w:val="32"/>
          <w:szCs w:val="32"/>
        </w:rPr>
        <w:t>推进平台经济相关市场主体登记注册便利化，持续打造最优市场准入环境。充分发挥平台经济的稳就业作用，稳定平台企业及其共生中小微企业的发展预期，以平台企业发展带动中小微企业纾困。引导平台企业在疫情防控中做好防疫物资和重要民生商品保供</w:t>
      </w:r>
      <w:r>
        <w:rPr>
          <w:rFonts w:ascii="Times New Roman" w:hAnsi="Times New Roman" w:eastAsia="Times New Roman" w:cs="Times New Roman"/>
          <w:snapToGrid/>
          <w:spacing w:val="0"/>
          <w:w w:val="100"/>
          <w:kern w:val="32"/>
          <w:position w:val="0"/>
          <w:sz w:val="32"/>
          <w:szCs w:val="32"/>
        </w:rPr>
        <w:t xml:space="preserve">“ </w:t>
      </w:r>
      <w:r>
        <w:rPr>
          <w:rFonts w:ascii="仿宋" w:hAnsi="仿宋" w:eastAsia="仿宋" w:cs="仿宋"/>
          <w:snapToGrid/>
          <w:spacing w:val="0"/>
          <w:w w:val="100"/>
          <w:kern w:val="32"/>
          <w:position w:val="0"/>
          <w:sz w:val="32"/>
          <w:szCs w:val="32"/>
        </w:rPr>
        <w:t>最后一公里</w:t>
      </w:r>
      <w:r>
        <w:rPr>
          <w:rFonts w:ascii="Times New Roman" w:hAnsi="Times New Roman" w:eastAsia="Times New Roman" w:cs="Times New Roman"/>
          <w:snapToGrid/>
          <w:spacing w:val="0"/>
          <w:w w:val="100"/>
          <w:kern w:val="32"/>
          <w:position w:val="0"/>
          <w:sz w:val="32"/>
          <w:szCs w:val="32"/>
        </w:rPr>
        <w:t xml:space="preserve">” </w:t>
      </w:r>
      <w:r>
        <w:rPr>
          <w:rFonts w:ascii="仿宋" w:hAnsi="仿宋" w:eastAsia="仿宋" w:cs="仿宋"/>
          <w:snapToGrid/>
          <w:spacing w:val="0"/>
          <w:w w:val="100"/>
          <w:kern w:val="32"/>
          <w:position w:val="0"/>
          <w:sz w:val="32"/>
          <w:szCs w:val="32"/>
        </w:rPr>
        <w:t>的线上线下联动。推动平台经济经营模式创新，鼓励发展直播电商、社区团购、共享经济等新模式新业态。支持平台企业建设双创示范 基地、工程研究中心等创新载体。推进农产品电商品牌培育工程和农村电商示范培育工作。支持平台企业参与数字化改革应用场景开发建设。</w:t>
      </w:r>
      <w:r>
        <w:rPr>
          <w:rFonts w:hint="eastAsia" w:ascii="仿宋" w:hAnsi="仿宋" w:eastAsia="仿宋" w:cs="仿宋"/>
          <w:snapToGrid/>
          <w:spacing w:val="0"/>
          <w:w w:val="100"/>
          <w:kern w:val="32"/>
          <w:position w:val="0"/>
          <w:sz w:val="32"/>
          <w:szCs w:val="32"/>
          <w:lang w:eastAsia="zh-CN"/>
        </w:rPr>
        <w:t>（</w:t>
      </w:r>
      <w:r>
        <w:rPr>
          <w:rFonts w:hint="eastAsia" w:ascii="仿宋" w:hAnsi="仿宋" w:eastAsia="仿宋" w:cs="仿宋"/>
          <w:snapToGrid/>
          <w:spacing w:val="0"/>
          <w:w w:val="100"/>
          <w:kern w:val="32"/>
          <w:position w:val="0"/>
          <w:sz w:val="32"/>
          <w:szCs w:val="32"/>
          <w:lang w:val="en-US" w:eastAsia="zh-CN"/>
        </w:rPr>
        <w:t>责任单位：</w:t>
      </w:r>
      <w:r>
        <w:rPr>
          <w:rFonts w:hint="eastAsia" w:ascii="仿宋" w:hAnsi="仿宋" w:eastAsia="仿宋" w:cs="仿宋"/>
          <w:snapToGrid/>
          <w:color w:val="FF0000"/>
          <w:spacing w:val="0"/>
          <w:w w:val="100"/>
          <w:kern w:val="32"/>
          <w:position w:val="0"/>
          <w:sz w:val="32"/>
          <w:szCs w:val="32"/>
          <w:lang w:val="en-US" w:eastAsia="zh-CN"/>
        </w:rPr>
        <w:t>市市场监督管理局</w:t>
      </w:r>
      <w:r>
        <w:rPr>
          <w:rFonts w:hint="eastAsia" w:ascii="仿宋" w:hAnsi="仿宋" w:eastAsia="仿宋" w:cs="仿宋"/>
          <w:snapToGrid/>
          <w:color w:val="auto"/>
          <w:spacing w:val="0"/>
          <w:w w:val="100"/>
          <w:kern w:val="32"/>
          <w:position w:val="0"/>
          <w:sz w:val="32"/>
          <w:szCs w:val="32"/>
          <w:lang w:val="en-US" w:eastAsia="zh-CN"/>
        </w:rPr>
        <w:t>、市经发局-发改口、经信口、商贸口、市社会事业局、市农业农村局、市智慧城市建设中心、人行苍南县支行）</w:t>
      </w:r>
    </w:p>
    <w:p>
      <w:pPr>
        <w:keepNext w:val="0"/>
        <w:keepLines w:val="0"/>
        <w:pageBreakBefore w:val="0"/>
        <w:widowControl/>
        <w:kinsoku w:val="0"/>
        <w:wordWrap/>
        <w:overflowPunct/>
        <w:topLinePunct w:val="0"/>
        <w:autoSpaceDE w:val="0"/>
        <w:autoSpaceDN w:val="0"/>
        <w:bidi w:val="0"/>
        <w:adjustRightInd w:val="0"/>
        <w:snapToGrid/>
        <w:spacing w:line="240" w:lineRule="auto"/>
        <w:ind w:left="6" w:firstLine="666"/>
        <w:textAlignment w:val="baseline"/>
        <w:rPr>
          <w:rFonts w:hint="eastAsia" w:ascii="仿宋" w:hAnsi="仿宋" w:eastAsia="仿宋" w:cs="仿宋"/>
          <w:snapToGrid/>
          <w:color w:val="auto"/>
          <w:spacing w:val="0"/>
          <w:w w:val="100"/>
          <w:kern w:val="32"/>
          <w:position w:val="0"/>
          <w:sz w:val="32"/>
          <w:szCs w:val="32"/>
          <w:lang w:val="en-US" w:eastAsia="zh-CN"/>
        </w:rPr>
      </w:pPr>
      <w:r>
        <w:rPr>
          <w:rFonts w:ascii="Times New Roman" w:hAnsi="Times New Roman" w:eastAsia="Times New Roman" w:cs="Times New Roman"/>
          <w:snapToGrid/>
          <w:spacing w:val="0"/>
          <w:w w:val="100"/>
          <w:kern w:val="32"/>
          <w:position w:val="0"/>
          <w:sz w:val="32"/>
          <w:szCs w:val="32"/>
        </w:rPr>
        <w:t xml:space="preserve">22. </w:t>
      </w:r>
      <w:r>
        <w:rPr>
          <w:rFonts w:ascii="楷体" w:hAnsi="楷体" w:eastAsia="楷体" w:cs="楷体"/>
          <w:snapToGrid/>
          <w:spacing w:val="0"/>
          <w:w w:val="100"/>
          <w:kern w:val="32"/>
          <w:position w:val="0"/>
          <w:sz w:val="32"/>
          <w:szCs w:val="32"/>
        </w:rPr>
        <w:t>多渠道支持外贸企业开拓国际市场。</w:t>
      </w:r>
      <w:r>
        <w:rPr>
          <w:rFonts w:ascii="仿宋" w:hAnsi="仿宋" w:eastAsia="仿宋" w:cs="仿宋"/>
          <w:snapToGrid/>
          <w:spacing w:val="0"/>
          <w:w w:val="100"/>
          <w:kern w:val="32"/>
          <w:position w:val="0"/>
          <w:sz w:val="32"/>
          <w:szCs w:val="32"/>
        </w:rPr>
        <w:t>大力支持企业参加境外国际性展会，创新展会服务模式，鼓励企业以</w:t>
      </w:r>
      <w:r>
        <w:rPr>
          <w:rFonts w:ascii="Times New Roman" w:hAnsi="Times New Roman" w:eastAsia="Times New Roman" w:cs="Times New Roman"/>
          <w:snapToGrid/>
          <w:spacing w:val="0"/>
          <w:w w:val="100"/>
          <w:kern w:val="32"/>
          <w:position w:val="0"/>
          <w:sz w:val="32"/>
          <w:szCs w:val="32"/>
        </w:rPr>
        <w:t>“</w:t>
      </w:r>
      <w:r>
        <w:rPr>
          <w:rFonts w:ascii="仿宋" w:hAnsi="仿宋" w:eastAsia="仿宋" w:cs="仿宋"/>
          <w:snapToGrid/>
          <w:spacing w:val="0"/>
          <w:w w:val="100"/>
          <w:kern w:val="32"/>
          <w:position w:val="0"/>
          <w:sz w:val="32"/>
          <w:szCs w:val="32"/>
        </w:rPr>
        <w:t>代参展</w:t>
      </w:r>
      <w:r>
        <w:rPr>
          <w:rFonts w:ascii="Times New Roman" w:hAnsi="Times New Roman" w:eastAsia="Times New Roman" w:cs="Times New Roman"/>
          <w:snapToGrid/>
          <w:spacing w:val="0"/>
          <w:w w:val="100"/>
          <w:kern w:val="32"/>
          <w:position w:val="0"/>
          <w:sz w:val="32"/>
          <w:szCs w:val="32"/>
        </w:rPr>
        <w:t>”</w:t>
      </w:r>
      <w:r>
        <w:rPr>
          <w:rFonts w:ascii="仿宋" w:hAnsi="仿宋" w:eastAsia="仿宋" w:cs="仿宋"/>
          <w:snapToGrid/>
          <w:spacing w:val="0"/>
          <w:w w:val="100"/>
          <w:kern w:val="32"/>
          <w:position w:val="0"/>
          <w:sz w:val="32"/>
          <w:szCs w:val="32"/>
        </w:rPr>
        <w:t>模式参展，提高展会补贴比例，并根据市场需要追加新一批境外重点展会项目和支持资金。积极组织企业参加广交会、浙江出 口网上交易会等系列重点展会，视情在境外举办线下自办展。全力促进航空货运发展，进一步加快近洋航线中心建设。</w:t>
      </w:r>
      <w:r>
        <w:rPr>
          <w:rFonts w:hint="eastAsia" w:ascii="仿宋" w:hAnsi="仿宋" w:eastAsia="仿宋" w:cs="仿宋"/>
          <w:snapToGrid/>
          <w:spacing w:val="0"/>
          <w:w w:val="100"/>
          <w:kern w:val="32"/>
          <w:position w:val="0"/>
          <w:sz w:val="32"/>
          <w:szCs w:val="32"/>
          <w:lang w:eastAsia="zh-CN"/>
        </w:rPr>
        <w:t>（</w:t>
      </w:r>
      <w:r>
        <w:rPr>
          <w:rFonts w:hint="eastAsia" w:ascii="仿宋" w:hAnsi="仿宋" w:eastAsia="仿宋" w:cs="仿宋"/>
          <w:snapToGrid/>
          <w:spacing w:val="0"/>
          <w:w w:val="100"/>
          <w:kern w:val="32"/>
          <w:position w:val="0"/>
          <w:sz w:val="32"/>
          <w:szCs w:val="32"/>
          <w:lang w:val="en-US" w:eastAsia="zh-CN"/>
        </w:rPr>
        <w:t>责任单位：</w:t>
      </w:r>
      <w:r>
        <w:rPr>
          <w:rFonts w:hint="eastAsia" w:ascii="仿宋" w:hAnsi="仿宋" w:eastAsia="仿宋" w:cs="仿宋"/>
          <w:snapToGrid/>
          <w:color w:val="FF0000"/>
          <w:spacing w:val="0"/>
          <w:w w:val="100"/>
          <w:kern w:val="32"/>
          <w:position w:val="0"/>
          <w:sz w:val="32"/>
          <w:szCs w:val="32"/>
          <w:lang w:val="en-US" w:eastAsia="zh-CN"/>
        </w:rPr>
        <w:t>市经发局-商贸口</w:t>
      </w:r>
      <w:r>
        <w:rPr>
          <w:rFonts w:hint="eastAsia" w:ascii="仿宋" w:hAnsi="仿宋" w:eastAsia="仿宋" w:cs="仿宋"/>
          <w:snapToGrid/>
          <w:color w:val="auto"/>
          <w:spacing w:val="0"/>
          <w:w w:val="100"/>
          <w:kern w:val="32"/>
          <w:position w:val="0"/>
          <w:sz w:val="32"/>
          <w:szCs w:val="32"/>
          <w:lang w:val="en-US" w:eastAsia="zh-CN"/>
        </w:rPr>
        <w:t>、市公安局、市财政局、市自然资源与规划建设局）</w:t>
      </w:r>
    </w:p>
    <w:p>
      <w:pPr>
        <w:keepNext w:val="0"/>
        <w:keepLines w:val="0"/>
        <w:pageBreakBefore w:val="0"/>
        <w:widowControl/>
        <w:kinsoku w:val="0"/>
        <w:wordWrap/>
        <w:overflowPunct/>
        <w:topLinePunct w:val="0"/>
        <w:autoSpaceDE w:val="0"/>
        <w:autoSpaceDN w:val="0"/>
        <w:bidi w:val="0"/>
        <w:adjustRightInd w:val="0"/>
        <w:snapToGrid/>
        <w:spacing w:line="240" w:lineRule="auto"/>
        <w:ind w:left="6" w:firstLine="666"/>
        <w:textAlignment w:val="baseline"/>
        <w:rPr>
          <w:rFonts w:hint="eastAsia" w:ascii="仿宋" w:hAnsi="仿宋" w:eastAsia="仿宋" w:cs="仿宋"/>
          <w:snapToGrid/>
          <w:color w:val="auto"/>
          <w:spacing w:val="0"/>
          <w:w w:val="100"/>
          <w:kern w:val="32"/>
          <w:position w:val="0"/>
          <w:sz w:val="32"/>
          <w:szCs w:val="32"/>
          <w:lang w:val="en-US" w:eastAsia="zh-CN"/>
        </w:rPr>
      </w:pPr>
      <w:r>
        <w:rPr>
          <w:rFonts w:ascii="Times New Roman" w:hAnsi="Times New Roman" w:eastAsia="Times New Roman" w:cs="Times New Roman"/>
          <w:snapToGrid/>
          <w:spacing w:val="0"/>
          <w:w w:val="100"/>
          <w:kern w:val="32"/>
          <w:position w:val="0"/>
          <w:sz w:val="32"/>
          <w:szCs w:val="32"/>
        </w:rPr>
        <w:t>23.</w:t>
      </w:r>
      <w:r>
        <w:rPr>
          <w:rFonts w:ascii="楷体" w:hAnsi="楷体" w:eastAsia="楷体" w:cs="楷体"/>
          <w:snapToGrid/>
          <w:spacing w:val="0"/>
          <w:w w:val="100"/>
          <w:kern w:val="32"/>
          <w:position w:val="0"/>
          <w:sz w:val="32"/>
          <w:szCs w:val="32"/>
        </w:rPr>
        <w:t xml:space="preserve">积极培育外贸新增长点。 </w:t>
      </w:r>
      <w:r>
        <w:rPr>
          <w:rFonts w:ascii="仿宋" w:hAnsi="仿宋" w:eastAsia="仿宋" w:cs="仿宋"/>
          <w:snapToGrid/>
          <w:spacing w:val="0"/>
          <w:w w:val="100"/>
          <w:kern w:val="32"/>
          <w:position w:val="0"/>
          <w:sz w:val="32"/>
          <w:szCs w:val="32"/>
        </w:rPr>
        <w:t xml:space="preserve">出台外贸新业态扶持政策和开放型经济补充政策，深化省级产业集群跨境电商试点建设，做精做优跨境电商产业园区，在核心监管区内打造 </w:t>
      </w:r>
      <w:r>
        <w:rPr>
          <w:rFonts w:ascii="Times New Roman" w:hAnsi="Times New Roman" w:eastAsia="Times New Roman" w:cs="Times New Roman"/>
          <w:snapToGrid/>
          <w:spacing w:val="0"/>
          <w:w w:val="100"/>
          <w:kern w:val="32"/>
          <w:position w:val="0"/>
          <w:sz w:val="32"/>
          <w:szCs w:val="32"/>
        </w:rPr>
        <w:t>1210“</w:t>
      </w:r>
      <w:r>
        <w:rPr>
          <w:rFonts w:ascii="仿宋" w:hAnsi="仿宋" w:eastAsia="仿宋" w:cs="仿宋"/>
          <w:snapToGrid/>
          <w:spacing w:val="0"/>
          <w:w w:val="100"/>
          <w:kern w:val="32"/>
          <w:position w:val="0"/>
          <w:sz w:val="32"/>
          <w:szCs w:val="32"/>
        </w:rPr>
        <w:t>全球中心仓</w:t>
      </w:r>
      <w:r>
        <w:rPr>
          <w:rFonts w:ascii="Times New Roman" w:hAnsi="Times New Roman" w:eastAsia="Times New Roman" w:cs="Times New Roman"/>
          <w:snapToGrid/>
          <w:spacing w:val="0"/>
          <w:w w:val="100"/>
          <w:kern w:val="32"/>
          <w:position w:val="0"/>
          <w:sz w:val="32"/>
          <w:szCs w:val="32"/>
        </w:rPr>
        <w:t>”</w:t>
      </w:r>
      <w:r>
        <w:rPr>
          <w:rFonts w:ascii="仿宋" w:hAnsi="仿宋" w:eastAsia="仿宋" w:cs="仿宋"/>
          <w:snapToGrid/>
          <w:spacing w:val="0"/>
          <w:w w:val="100"/>
          <w:kern w:val="32"/>
          <w:position w:val="0"/>
          <w:sz w:val="32"/>
          <w:szCs w:val="32"/>
        </w:rPr>
        <w:t>，支持符合条件的跨境电子商务企业申报高新技术企业。推动市场采购、海外仓等新业态规范发展，实施市场采购贸易创新提升专项行动，鼓励中小微企业开展市场采购，通过</w:t>
      </w:r>
      <w:r>
        <w:rPr>
          <w:rFonts w:ascii="Times New Roman" w:hAnsi="Times New Roman" w:eastAsia="Times New Roman" w:cs="Times New Roman"/>
          <w:snapToGrid/>
          <w:spacing w:val="0"/>
          <w:w w:val="100"/>
          <w:kern w:val="32"/>
          <w:position w:val="0"/>
          <w:sz w:val="32"/>
          <w:szCs w:val="32"/>
        </w:rPr>
        <w:t xml:space="preserve">“ </w:t>
      </w:r>
      <w:r>
        <w:rPr>
          <w:rFonts w:ascii="仿宋" w:hAnsi="仿宋" w:eastAsia="仿宋" w:cs="仿宋"/>
          <w:snapToGrid/>
          <w:spacing w:val="0"/>
          <w:w w:val="100"/>
          <w:kern w:val="32"/>
          <w:position w:val="0"/>
          <w:sz w:val="32"/>
          <w:szCs w:val="32"/>
        </w:rPr>
        <w:t>随附单证 清零</w:t>
      </w:r>
      <w:r>
        <w:rPr>
          <w:rFonts w:ascii="Times New Roman" w:hAnsi="Times New Roman" w:eastAsia="Times New Roman" w:cs="Times New Roman"/>
          <w:snapToGrid/>
          <w:spacing w:val="0"/>
          <w:w w:val="100"/>
          <w:kern w:val="32"/>
          <w:position w:val="0"/>
          <w:sz w:val="32"/>
          <w:szCs w:val="32"/>
        </w:rPr>
        <w:t>”</w:t>
      </w:r>
      <w:r>
        <w:rPr>
          <w:rFonts w:ascii="仿宋" w:hAnsi="仿宋" w:eastAsia="仿宋" w:cs="仿宋"/>
          <w:snapToGrid/>
          <w:spacing w:val="0"/>
          <w:w w:val="100"/>
          <w:kern w:val="32"/>
          <w:position w:val="0"/>
          <w:sz w:val="32"/>
          <w:szCs w:val="32"/>
        </w:rPr>
        <w:t>，让企业享受简化申报便利。加快实体市场建设，推进线上线下融合发展，培育一批示范商户和企业。支持现有集货拼箱场所扩大出口规模，加快推进大型集货拼箱场所建设。鼓励企业开展和扩大进出 口业务。</w:t>
      </w:r>
      <w:r>
        <w:rPr>
          <w:rFonts w:hint="eastAsia" w:ascii="仿宋" w:hAnsi="仿宋" w:eastAsia="仿宋" w:cs="仿宋"/>
          <w:snapToGrid/>
          <w:spacing w:val="0"/>
          <w:w w:val="100"/>
          <w:kern w:val="32"/>
          <w:position w:val="0"/>
          <w:sz w:val="32"/>
          <w:szCs w:val="32"/>
          <w:lang w:eastAsia="zh-CN"/>
        </w:rPr>
        <w:t>（</w:t>
      </w:r>
      <w:r>
        <w:rPr>
          <w:rFonts w:hint="eastAsia" w:ascii="仿宋" w:hAnsi="仿宋" w:eastAsia="仿宋" w:cs="仿宋"/>
          <w:snapToGrid/>
          <w:spacing w:val="0"/>
          <w:w w:val="100"/>
          <w:kern w:val="32"/>
          <w:position w:val="0"/>
          <w:sz w:val="32"/>
          <w:szCs w:val="32"/>
          <w:lang w:val="en-US" w:eastAsia="zh-CN"/>
        </w:rPr>
        <w:t>责任单位：</w:t>
      </w:r>
      <w:r>
        <w:rPr>
          <w:rFonts w:hint="eastAsia" w:ascii="仿宋" w:hAnsi="仿宋" w:eastAsia="仿宋" w:cs="仿宋"/>
          <w:snapToGrid/>
          <w:color w:val="FF0000"/>
          <w:spacing w:val="0"/>
          <w:w w:val="100"/>
          <w:kern w:val="32"/>
          <w:position w:val="0"/>
          <w:sz w:val="32"/>
          <w:szCs w:val="32"/>
          <w:lang w:val="en-US" w:eastAsia="zh-CN"/>
        </w:rPr>
        <w:t>市经发局-商贸口</w:t>
      </w:r>
      <w:r>
        <w:rPr>
          <w:rFonts w:hint="eastAsia" w:ascii="仿宋" w:hAnsi="仿宋" w:eastAsia="仿宋" w:cs="仿宋"/>
          <w:snapToGrid/>
          <w:color w:val="auto"/>
          <w:spacing w:val="0"/>
          <w:w w:val="100"/>
          <w:kern w:val="32"/>
          <w:position w:val="0"/>
          <w:sz w:val="32"/>
          <w:szCs w:val="32"/>
          <w:lang w:val="en-US" w:eastAsia="zh-CN"/>
        </w:rPr>
        <w:t>、科技口、市税务局、温州海关驻瑞鳌办事处）</w:t>
      </w:r>
    </w:p>
    <w:p>
      <w:pPr>
        <w:keepNext w:val="0"/>
        <w:keepLines w:val="0"/>
        <w:pageBreakBefore w:val="0"/>
        <w:widowControl/>
        <w:kinsoku w:val="0"/>
        <w:wordWrap/>
        <w:overflowPunct/>
        <w:topLinePunct w:val="0"/>
        <w:autoSpaceDE w:val="0"/>
        <w:autoSpaceDN w:val="0"/>
        <w:bidi w:val="0"/>
        <w:adjustRightInd w:val="0"/>
        <w:snapToGrid/>
        <w:spacing w:line="240" w:lineRule="auto"/>
        <w:ind w:firstLine="642"/>
        <w:textAlignment w:val="baseline"/>
        <w:rPr>
          <w:rFonts w:hint="eastAsia" w:ascii="仿宋" w:hAnsi="仿宋" w:eastAsia="仿宋" w:cs="仿宋"/>
          <w:snapToGrid/>
          <w:spacing w:val="0"/>
          <w:w w:val="100"/>
          <w:kern w:val="32"/>
          <w:position w:val="0"/>
          <w:sz w:val="32"/>
          <w:szCs w:val="32"/>
          <w:lang w:eastAsia="zh-CN"/>
        </w:rPr>
      </w:pPr>
      <w:r>
        <w:rPr>
          <w:rFonts w:ascii="Times New Roman" w:hAnsi="Times New Roman" w:eastAsia="Times New Roman" w:cs="Times New Roman"/>
          <w:snapToGrid/>
          <w:spacing w:val="0"/>
          <w:w w:val="100"/>
          <w:kern w:val="32"/>
          <w:position w:val="0"/>
          <w:sz w:val="32"/>
          <w:szCs w:val="32"/>
        </w:rPr>
        <w:t>24.</w:t>
      </w:r>
      <w:r>
        <w:rPr>
          <w:rFonts w:ascii="楷体" w:hAnsi="楷体" w:eastAsia="楷体" w:cs="楷体"/>
          <w:snapToGrid/>
          <w:spacing w:val="0"/>
          <w:w w:val="100"/>
          <w:kern w:val="32"/>
          <w:position w:val="0"/>
          <w:sz w:val="32"/>
          <w:szCs w:val="32"/>
        </w:rPr>
        <w:t>促进进 口贸易创新发展。</w:t>
      </w:r>
      <w:r>
        <w:rPr>
          <w:rFonts w:ascii="仿宋" w:hAnsi="仿宋" w:eastAsia="仿宋" w:cs="仿宋"/>
          <w:snapToGrid/>
          <w:spacing w:val="0"/>
          <w:w w:val="100"/>
          <w:kern w:val="32"/>
          <w:position w:val="0"/>
          <w:sz w:val="32"/>
          <w:szCs w:val="32"/>
        </w:rPr>
        <w:t>培育新一批省级进 口贸易促进创新示范区和重点进口平台，创建国家进 口贸易促进创新示范区。进一步扩大美妆及洗护用品、酒类、乳品等消费品，以及铁合金、牛皮革、原木等大宗商品进 口。加快推动温州国际货运航线和义新欧班列回程业务有实质性突破。推动温州 口岸加快进境肉类、水果、食用水生动物和冰鲜水产品指定监管作业场地改造和设施完善。</w:t>
      </w:r>
      <w:r>
        <w:rPr>
          <w:rFonts w:hint="eastAsia" w:ascii="仿宋" w:hAnsi="仿宋" w:eastAsia="仿宋" w:cs="仿宋"/>
          <w:snapToGrid/>
          <w:spacing w:val="0"/>
          <w:w w:val="100"/>
          <w:kern w:val="32"/>
          <w:position w:val="0"/>
          <w:sz w:val="32"/>
          <w:szCs w:val="32"/>
          <w:lang w:eastAsia="zh-CN"/>
        </w:rPr>
        <w:t>（</w:t>
      </w:r>
      <w:r>
        <w:rPr>
          <w:rFonts w:hint="eastAsia" w:ascii="仿宋" w:hAnsi="仿宋" w:eastAsia="仿宋" w:cs="仿宋"/>
          <w:snapToGrid/>
          <w:spacing w:val="0"/>
          <w:w w:val="100"/>
          <w:kern w:val="32"/>
          <w:position w:val="0"/>
          <w:sz w:val="32"/>
          <w:szCs w:val="32"/>
          <w:lang w:val="en-US" w:eastAsia="zh-CN"/>
        </w:rPr>
        <w:t>责任单位：</w:t>
      </w:r>
      <w:r>
        <w:rPr>
          <w:rFonts w:hint="eastAsia" w:ascii="仿宋" w:hAnsi="仿宋" w:eastAsia="仿宋" w:cs="仿宋"/>
          <w:snapToGrid/>
          <w:color w:val="FF0000"/>
          <w:spacing w:val="0"/>
          <w:w w:val="100"/>
          <w:kern w:val="32"/>
          <w:position w:val="0"/>
          <w:sz w:val="32"/>
          <w:szCs w:val="32"/>
          <w:lang w:val="en-US" w:eastAsia="zh-CN"/>
        </w:rPr>
        <w:t>市经发局-商贸口</w:t>
      </w:r>
      <w:r>
        <w:rPr>
          <w:rFonts w:hint="eastAsia" w:ascii="仿宋" w:hAnsi="仿宋" w:eastAsia="仿宋" w:cs="仿宋"/>
          <w:snapToGrid/>
          <w:color w:val="auto"/>
          <w:spacing w:val="0"/>
          <w:w w:val="100"/>
          <w:kern w:val="32"/>
          <w:position w:val="0"/>
          <w:sz w:val="32"/>
          <w:szCs w:val="32"/>
          <w:lang w:val="en-US" w:eastAsia="zh-CN"/>
        </w:rPr>
        <w:t>、温州海关驻瑞鳌办事处）</w:t>
      </w:r>
    </w:p>
    <w:p>
      <w:pPr>
        <w:keepNext w:val="0"/>
        <w:keepLines w:val="0"/>
        <w:pageBreakBefore w:val="0"/>
        <w:widowControl/>
        <w:kinsoku w:val="0"/>
        <w:wordWrap/>
        <w:overflowPunct/>
        <w:topLinePunct w:val="0"/>
        <w:autoSpaceDE w:val="0"/>
        <w:autoSpaceDN w:val="0"/>
        <w:bidi w:val="0"/>
        <w:adjustRightInd w:val="0"/>
        <w:snapToGrid/>
        <w:spacing w:line="240" w:lineRule="auto"/>
        <w:ind w:firstLine="642"/>
        <w:textAlignment w:val="baseline"/>
        <w:rPr>
          <w:rFonts w:hint="eastAsia" w:ascii="仿宋" w:hAnsi="仿宋" w:eastAsia="仿宋" w:cs="仿宋"/>
          <w:snapToGrid/>
          <w:color w:val="auto"/>
          <w:spacing w:val="0"/>
          <w:w w:val="100"/>
          <w:kern w:val="32"/>
          <w:position w:val="0"/>
          <w:sz w:val="32"/>
          <w:szCs w:val="32"/>
          <w:lang w:val="en-US" w:eastAsia="zh-CN"/>
        </w:rPr>
      </w:pPr>
      <w:r>
        <w:rPr>
          <w:rFonts w:ascii="Times New Roman" w:hAnsi="Times New Roman" w:eastAsia="Times New Roman" w:cs="Times New Roman"/>
          <w:snapToGrid/>
          <w:spacing w:val="0"/>
          <w:w w:val="100"/>
          <w:kern w:val="32"/>
          <w:position w:val="0"/>
          <w:sz w:val="32"/>
          <w:szCs w:val="32"/>
        </w:rPr>
        <w:t>25.</w:t>
      </w:r>
      <w:r>
        <w:rPr>
          <w:rFonts w:ascii="楷体" w:hAnsi="楷体" w:eastAsia="楷体" w:cs="楷体"/>
          <w:snapToGrid/>
          <w:spacing w:val="0"/>
          <w:w w:val="100"/>
          <w:kern w:val="32"/>
          <w:position w:val="0"/>
          <w:sz w:val="32"/>
          <w:szCs w:val="32"/>
        </w:rPr>
        <w:t xml:space="preserve">充分释放 </w:t>
      </w:r>
      <w:r>
        <w:rPr>
          <w:rFonts w:ascii="Times New Roman" w:hAnsi="Times New Roman" w:eastAsia="Times New Roman" w:cs="Times New Roman"/>
          <w:snapToGrid/>
          <w:spacing w:val="0"/>
          <w:w w:val="100"/>
          <w:kern w:val="32"/>
          <w:position w:val="0"/>
          <w:sz w:val="32"/>
          <w:szCs w:val="32"/>
        </w:rPr>
        <w:t xml:space="preserve">RCEP </w:t>
      </w:r>
      <w:r>
        <w:rPr>
          <w:rFonts w:ascii="楷体" w:hAnsi="楷体" w:eastAsia="楷体" w:cs="楷体"/>
          <w:snapToGrid/>
          <w:spacing w:val="0"/>
          <w:w w:val="100"/>
          <w:kern w:val="32"/>
          <w:position w:val="0"/>
          <w:sz w:val="32"/>
          <w:szCs w:val="32"/>
        </w:rPr>
        <w:t>等自贸协定政策红利。</w:t>
      </w:r>
      <w:r>
        <w:rPr>
          <w:rFonts w:ascii="仿宋" w:hAnsi="仿宋" w:eastAsia="仿宋" w:cs="仿宋"/>
          <w:snapToGrid/>
          <w:spacing w:val="0"/>
          <w:w w:val="100"/>
          <w:kern w:val="32"/>
          <w:position w:val="0"/>
          <w:sz w:val="32"/>
          <w:szCs w:val="32"/>
        </w:rPr>
        <w:t xml:space="preserve">设立 </w:t>
      </w:r>
      <w:r>
        <w:rPr>
          <w:rFonts w:ascii="Times New Roman" w:hAnsi="Times New Roman" w:eastAsia="Times New Roman" w:cs="Times New Roman"/>
          <w:snapToGrid/>
          <w:spacing w:val="0"/>
          <w:w w:val="100"/>
          <w:kern w:val="32"/>
          <w:position w:val="0"/>
          <w:sz w:val="32"/>
          <w:szCs w:val="32"/>
        </w:rPr>
        <w:t xml:space="preserve">RCEP </w:t>
      </w:r>
      <w:r>
        <w:rPr>
          <w:rFonts w:ascii="仿宋" w:hAnsi="仿宋" w:eastAsia="仿宋" w:cs="仿宋"/>
          <w:snapToGrid/>
          <w:spacing w:val="0"/>
          <w:w w:val="100"/>
          <w:kern w:val="32"/>
          <w:position w:val="0"/>
          <w:sz w:val="32"/>
          <w:szCs w:val="32"/>
        </w:rPr>
        <w:t xml:space="preserve">工作站、签证专窗，上线 </w:t>
      </w:r>
      <w:r>
        <w:rPr>
          <w:rFonts w:ascii="Times New Roman" w:hAnsi="Times New Roman" w:eastAsia="Times New Roman" w:cs="Times New Roman"/>
          <w:snapToGrid/>
          <w:spacing w:val="0"/>
          <w:w w:val="100"/>
          <w:kern w:val="32"/>
          <w:position w:val="0"/>
          <w:sz w:val="32"/>
          <w:szCs w:val="32"/>
        </w:rPr>
        <w:t xml:space="preserve">RCEP </w:t>
      </w:r>
      <w:r>
        <w:rPr>
          <w:rFonts w:ascii="仿宋" w:hAnsi="仿宋" w:eastAsia="仿宋" w:cs="仿宋"/>
          <w:snapToGrid/>
          <w:spacing w:val="0"/>
          <w:w w:val="100"/>
          <w:kern w:val="32"/>
          <w:position w:val="0"/>
          <w:sz w:val="32"/>
          <w:szCs w:val="32"/>
        </w:rPr>
        <w:t>智能享惠服务平台，开展</w:t>
      </w:r>
      <w:r>
        <w:rPr>
          <w:rFonts w:ascii="Times New Roman" w:hAnsi="Times New Roman" w:eastAsia="Times New Roman" w:cs="Times New Roman"/>
          <w:snapToGrid/>
          <w:spacing w:val="0"/>
          <w:w w:val="100"/>
          <w:kern w:val="32"/>
          <w:position w:val="0"/>
          <w:sz w:val="32"/>
          <w:szCs w:val="32"/>
        </w:rPr>
        <w:t xml:space="preserve">“ </w:t>
      </w:r>
      <w:r>
        <w:rPr>
          <w:rFonts w:ascii="仿宋" w:hAnsi="仿宋" w:eastAsia="仿宋" w:cs="仿宋"/>
          <w:snapToGrid/>
          <w:spacing w:val="0"/>
          <w:w w:val="100"/>
          <w:kern w:val="32"/>
          <w:position w:val="0"/>
          <w:sz w:val="32"/>
          <w:szCs w:val="32"/>
        </w:rPr>
        <w:t>三为</w:t>
      </w:r>
      <w:r>
        <w:rPr>
          <w:rFonts w:ascii="Times New Roman" w:hAnsi="Times New Roman" w:eastAsia="Times New Roman" w:cs="Times New Roman"/>
          <w:snapToGrid/>
          <w:spacing w:val="0"/>
          <w:w w:val="100"/>
          <w:kern w:val="32"/>
          <w:position w:val="0"/>
          <w:sz w:val="32"/>
          <w:szCs w:val="32"/>
        </w:rPr>
        <w:t xml:space="preserve">” </w:t>
      </w:r>
      <w:r>
        <w:rPr>
          <w:rFonts w:ascii="仿宋" w:hAnsi="仿宋" w:eastAsia="仿宋" w:cs="仿宋"/>
          <w:snapToGrid/>
          <w:spacing w:val="0"/>
          <w:w w:val="100"/>
          <w:kern w:val="32"/>
          <w:position w:val="0"/>
          <w:sz w:val="32"/>
          <w:szCs w:val="32"/>
        </w:rPr>
        <w:t>助企服务活动，全面推广原产地证书线上申请、智能审核、自助打印 等政策，帮助企业做好最优税收筹划。</w:t>
      </w:r>
      <w:r>
        <w:rPr>
          <w:rFonts w:hint="eastAsia" w:ascii="仿宋" w:hAnsi="仿宋" w:eastAsia="仿宋" w:cs="仿宋"/>
          <w:snapToGrid/>
          <w:spacing w:val="0"/>
          <w:w w:val="100"/>
          <w:kern w:val="32"/>
          <w:position w:val="0"/>
          <w:sz w:val="32"/>
          <w:szCs w:val="32"/>
          <w:lang w:eastAsia="zh-CN"/>
        </w:rPr>
        <w:t>（</w:t>
      </w:r>
      <w:r>
        <w:rPr>
          <w:rFonts w:hint="eastAsia" w:ascii="仿宋" w:hAnsi="仿宋" w:eastAsia="仿宋" w:cs="仿宋"/>
          <w:snapToGrid/>
          <w:spacing w:val="0"/>
          <w:w w:val="100"/>
          <w:kern w:val="32"/>
          <w:position w:val="0"/>
          <w:sz w:val="32"/>
          <w:szCs w:val="32"/>
          <w:lang w:val="en-US" w:eastAsia="zh-CN"/>
        </w:rPr>
        <w:t>责任单位：</w:t>
      </w:r>
      <w:r>
        <w:rPr>
          <w:rFonts w:hint="eastAsia" w:ascii="仿宋" w:hAnsi="仿宋" w:eastAsia="仿宋" w:cs="仿宋"/>
          <w:snapToGrid/>
          <w:color w:val="FF0000"/>
          <w:spacing w:val="0"/>
          <w:w w:val="100"/>
          <w:kern w:val="32"/>
          <w:position w:val="0"/>
          <w:sz w:val="32"/>
          <w:szCs w:val="32"/>
          <w:lang w:val="en-US" w:eastAsia="zh-CN"/>
        </w:rPr>
        <w:t>市经发局-商贸口</w:t>
      </w:r>
      <w:r>
        <w:rPr>
          <w:rFonts w:hint="eastAsia" w:ascii="仿宋" w:hAnsi="仿宋" w:eastAsia="仿宋" w:cs="仿宋"/>
          <w:snapToGrid/>
          <w:color w:val="auto"/>
          <w:spacing w:val="0"/>
          <w:w w:val="100"/>
          <w:kern w:val="32"/>
          <w:position w:val="0"/>
          <w:sz w:val="32"/>
          <w:szCs w:val="32"/>
          <w:lang w:val="en-US" w:eastAsia="zh-CN"/>
        </w:rPr>
        <w:t>、温州海关驻瑞鳌办事处）</w:t>
      </w:r>
    </w:p>
    <w:p>
      <w:pPr>
        <w:keepNext w:val="0"/>
        <w:keepLines w:val="0"/>
        <w:pageBreakBefore w:val="0"/>
        <w:widowControl/>
        <w:kinsoku w:val="0"/>
        <w:wordWrap/>
        <w:overflowPunct/>
        <w:topLinePunct w:val="0"/>
        <w:autoSpaceDE w:val="0"/>
        <w:autoSpaceDN w:val="0"/>
        <w:bidi w:val="0"/>
        <w:adjustRightInd w:val="0"/>
        <w:snapToGrid/>
        <w:spacing w:line="240" w:lineRule="auto"/>
        <w:ind w:firstLine="642"/>
        <w:textAlignment w:val="baseline"/>
        <w:rPr>
          <w:rFonts w:hint="eastAsia" w:ascii="仿宋" w:hAnsi="仿宋" w:eastAsia="仿宋" w:cs="仿宋"/>
          <w:snapToGrid/>
          <w:spacing w:val="0"/>
          <w:w w:val="100"/>
          <w:kern w:val="32"/>
          <w:position w:val="0"/>
          <w:sz w:val="32"/>
          <w:szCs w:val="32"/>
          <w:lang w:eastAsia="zh-CN"/>
        </w:rPr>
      </w:pPr>
      <w:r>
        <w:rPr>
          <w:rFonts w:ascii="Times New Roman" w:hAnsi="Times New Roman" w:eastAsia="Times New Roman" w:cs="Times New Roman"/>
          <w:snapToGrid/>
          <w:spacing w:val="0"/>
          <w:w w:val="100"/>
          <w:kern w:val="32"/>
          <w:position w:val="0"/>
          <w:sz w:val="32"/>
          <w:szCs w:val="32"/>
        </w:rPr>
        <w:t>26.</w:t>
      </w:r>
      <w:r>
        <w:rPr>
          <w:rFonts w:ascii="楷体" w:hAnsi="楷体" w:eastAsia="楷体" w:cs="楷体"/>
          <w:snapToGrid/>
          <w:spacing w:val="0"/>
          <w:w w:val="100"/>
          <w:kern w:val="32"/>
          <w:position w:val="0"/>
          <w:sz w:val="32"/>
          <w:szCs w:val="32"/>
        </w:rPr>
        <w:t>加快推进重大外资项目吸引外商投资。</w:t>
      </w:r>
      <w:r>
        <w:rPr>
          <w:rFonts w:ascii="仿宋" w:hAnsi="仿宋" w:eastAsia="仿宋" w:cs="仿宋"/>
          <w:snapToGrid/>
          <w:spacing w:val="0"/>
          <w:w w:val="100"/>
          <w:kern w:val="32"/>
          <w:position w:val="0"/>
          <w:sz w:val="32"/>
          <w:szCs w:val="32"/>
        </w:rPr>
        <w:t xml:space="preserve">进一步加大我市外资项目谋划，加快推进列入重点外资项目库的重大项目建设。积极探索开展中介招商、驻点招商，全面开展 </w:t>
      </w:r>
      <w:r>
        <w:rPr>
          <w:rFonts w:ascii="Times New Roman" w:hAnsi="Times New Roman" w:eastAsia="Times New Roman" w:cs="Times New Roman"/>
          <w:snapToGrid/>
          <w:spacing w:val="0"/>
          <w:w w:val="100"/>
          <w:kern w:val="32"/>
          <w:position w:val="0"/>
          <w:sz w:val="32"/>
          <w:szCs w:val="32"/>
        </w:rPr>
        <w:t>QFLP</w:t>
      </w:r>
      <w:r>
        <w:rPr>
          <w:rFonts w:ascii="仿宋" w:hAnsi="仿宋" w:eastAsia="仿宋" w:cs="仿宋"/>
          <w:snapToGrid/>
          <w:spacing w:val="0"/>
          <w:w w:val="100"/>
          <w:kern w:val="32"/>
          <w:position w:val="0"/>
          <w:sz w:val="32"/>
          <w:szCs w:val="32"/>
        </w:rPr>
        <w:t>试点工作，不断拓宽外资招引渠道。强化项目服务，实行项目清单化、动态式、专班制跟踪服务机制，推动项目快速落地。加大项目扶持力度，引导吸引一批大项目落户温州。建立完善与在华外国商（协）会、外资企业常态化交流机制，聚焦推介重点产业领域，拓展招引项目渠道。在严防境外疫情输入前提下，提升外资企业人员往来和营商活动便利度。</w:t>
      </w:r>
      <w:r>
        <w:rPr>
          <w:rFonts w:hint="eastAsia" w:ascii="仿宋" w:hAnsi="仿宋" w:eastAsia="仿宋" w:cs="仿宋"/>
          <w:snapToGrid/>
          <w:spacing w:val="0"/>
          <w:w w:val="100"/>
          <w:kern w:val="32"/>
          <w:position w:val="0"/>
          <w:sz w:val="32"/>
          <w:szCs w:val="32"/>
          <w:lang w:eastAsia="zh-CN"/>
        </w:rPr>
        <w:t>（</w:t>
      </w:r>
      <w:r>
        <w:rPr>
          <w:rFonts w:hint="eastAsia" w:ascii="仿宋" w:hAnsi="仿宋" w:eastAsia="仿宋" w:cs="仿宋"/>
          <w:snapToGrid/>
          <w:spacing w:val="0"/>
          <w:w w:val="100"/>
          <w:kern w:val="32"/>
          <w:position w:val="0"/>
          <w:sz w:val="32"/>
          <w:szCs w:val="32"/>
          <w:lang w:val="en-US" w:eastAsia="zh-CN"/>
        </w:rPr>
        <w:t>责任单位：</w:t>
      </w:r>
      <w:r>
        <w:rPr>
          <w:rFonts w:hint="eastAsia" w:ascii="仿宋" w:hAnsi="仿宋" w:eastAsia="仿宋" w:cs="仿宋"/>
          <w:snapToGrid/>
          <w:color w:val="FF0000"/>
          <w:spacing w:val="0"/>
          <w:w w:val="100"/>
          <w:kern w:val="32"/>
          <w:position w:val="0"/>
          <w:sz w:val="32"/>
          <w:szCs w:val="32"/>
          <w:lang w:val="en-US" w:eastAsia="zh-CN"/>
        </w:rPr>
        <w:t>市投资促进中心</w:t>
      </w:r>
      <w:r>
        <w:rPr>
          <w:rFonts w:hint="eastAsia" w:ascii="仿宋" w:hAnsi="仿宋" w:eastAsia="仿宋" w:cs="仿宋"/>
          <w:snapToGrid/>
          <w:color w:val="auto"/>
          <w:spacing w:val="0"/>
          <w:w w:val="100"/>
          <w:kern w:val="32"/>
          <w:position w:val="0"/>
          <w:sz w:val="32"/>
          <w:szCs w:val="32"/>
          <w:lang w:val="en-US" w:eastAsia="zh-CN"/>
        </w:rPr>
        <w:t>、市经发局-发改口、商贸口）</w:t>
      </w:r>
    </w:p>
    <w:p>
      <w:pPr>
        <w:keepNext w:val="0"/>
        <w:keepLines w:val="0"/>
        <w:pageBreakBefore w:val="0"/>
        <w:widowControl/>
        <w:kinsoku w:val="0"/>
        <w:wordWrap/>
        <w:overflowPunct/>
        <w:topLinePunct w:val="0"/>
        <w:autoSpaceDE w:val="0"/>
        <w:autoSpaceDN w:val="0"/>
        <w:bidi w:val="0"/>
        <w:adjustRightInd w:val="0"/>
        <w:snapToGrid/>
        <w:spacing w:line="240" w:lineRule="auto"/>
        <w:ind w:firstLine="642"/>
        <w:textAlignment w:val="baseline"/>
        <w:rPr>
          <w:rFonts w:ascii="黑体" w:hAnsi="黑体" w:eastAsia="黑体" w:cs="黑体"/>
          <w:snapToGrid/>
          <w:spacing w:val="0"/>
          <w:w w:val="100"/>
          <w:kern w:val="32"/>
          <w:position w:val="0"/>
          <w:sz w:val="32"/>
          <w:szCs w:val="32"/>
        </w:rPr>
      </w:pPr>
      <w:r>
        <w:rPr>
          <w:rFonts w:ascii="黑体" w:hAnsi="黑体" w:eastAsia="黑体" w:cs="黑体"/>
          <w:snapToGrid/>
          <w:spacing w:val="0"/>
          <w:w w:val="100"/>
          <w:kern w:val="32"/>
          <w:position w:val="0"/>
          <w:sz w:val="32"/>
          <w:szCs w:val="32"/>
        </w:rPr>
        <w:t>六、保粮食能源安全措施（</w:t>
      </w:r>
      <w:r>
        <w:rPr>
          <w:rFonts w:ascii="Times New Roman" w:hAnsi="Times New Roman" w:eastAsia="Times New Roman" w:cs="Times New Roman"/>
          <w:snapToGrid/>
          <w:spacing w:val="0"/>
          <w:w w:val="100"/>
          <w:kern w:val="32"/>
          <w:position w:val="0"/>
          <w:sz w:val="32"/>
          <w:szCs w:val="32"/>
        </w:rPr>
        <w:t>4</w:t>
      </w:r>
      <w:r>
        <w:rPr>
          <w:rFonts w:ascii="黑体" w:hAnsi="黑体" w:eastAsia="黑体" w:cs="黑体"/>
          <w:snapToGrid/>
          <w:spacing w:val="0"/>
          <w:w w:val="100"/>
          <w:kern w:val="32"/>
          <w:position w:val="0"/>
          <w:sz w:val="32"/>
          <w:szCs w:val="32"/>
        </w:rPr>
        <w:t>项）</w:t>
      </w:r>
    </w:p>
    <w:p>
      <w:pPr>
        <w:keepNext w:val="0"/>
        <w:keepLines w:val="0"/>
        <w:pageBreakBefore w:val="0"/>
        <w:widowControl/>
        <w:kinsoku w:val="0"/>
        <w:wordWrap/>
        <w:overflowPunct/>
        <w:topLinePunct w:val="0"/>
        <w:autoSpaceDE w:val="0"/>
        <w:autoSpaceDN w:val="0"/>
        <w:bidi w:val="0"/>
        <w:adjustRightInd w:val="0"/>
        <w:snapToGrid/>
        <w:spacing w:line="240" w:lineRule="auto"/>
        <w:ind w:firstLine="642"/>
        <w:textAlignment w:val="baseline"/>
        <w:rPr>
          <w:rFonts w:hint="eastAsia" w:ascii="仿宋" w:hAnsi="仿宋" w:eastAsia="仿宋" w:cs="仿宋"/>
          <w:snapToGrid/>
          <w:color w:val="auto"/>
          <w:spacing w:val="0"/>
          <w:w w:val="100"/>
          <w:kern w:val="32"/>
          <w:position w:val="0"/>
          <w:sz w:val="32"/>
          <w:szCs w:val="32"/>
          <w:lang w:val="en-US" w:eastAsia="zh-CN"/>
        </w:rPr>
      </w:pPr>
      <w:r>
        <w:rPr>
          <w:rFonts w:ascii="Times New Roman" w:hAnsi="Times New Roman" w:eastAsia="Times New Roman" w:cs="Times New Roman"/>
          <w:snapToGrid/>
          <w:spacing w:val="0"/>
          <w:w w:val="100"/>
          <w:kern w:val="32"/>
          <w:position w:val="0"/>
          <w:sz w:val="32"/>
          <w:szCs w:val="32"/>
        </w:rPr>
        <w:t>27.</w:t>
      </w:r>
      <w:r>
        <w:rPr>
          <w:rFonts w:ascii="楷体" w:hAnsi="楷体" w:eastAsia="楷体" w:cs="楷体"/>
          <w:snapToGrid/>
          <w:spacing w:val="0"/>
          <w:w w:val="100"/>
          <w:kern w:val="32"/>
          <w:position w:val="0"/>
          <w:sz w:val="32"/>
          <w:szCs w:val="32"/>
        </w:rPr>
        <w:t>健全完善粮食收益保障政策。</w:t>
      </w:r>
      <w:r>
        <w:rPr>
          <w:rFonts w:ascii="仿宋" w:hAnsi="仿宋" w:eastAsia="仿宋" w:cs="仿宋"/>
          <w:snapToGrid/>
          <w:spacing w:val="0"/>
          <w:w w:val="100"/>
          <w:kern w:val="32"/>
          <w:position w:val="0"/>
          <w:sz w:val="32"/>
          <w:szCs w:val="32"/>
        </w:rPr>
        <w:t xml:space="preserve">优化种粮补贴政策，健全种粮农民补贴政策框架。常态化实施耕地地力保护补贴、粮油规模种植补贴、订单粮食收购奖励、规模种粮主体贷款贴息、政策性保险等政策。制定出台粮油补贴动态调整实施办法，建立种粮成本变化与粮油补贴联动调整机制。及时发放 </w:t>
      </w:r>
      <w:r>
        <w:rPr>
          <w:rFonts w:ascii="Times New Roman" w:hAnsi="Times New Roman" w:eastAsia="Times New Roman" w:cs="Times New Roman"/>
          <w:snapToGrid/>
          <w:spacing w:val="0"/>
          <w:w w:val="100"/>
          <w:kern w:val="32"/>
          <w:position w:val="0"/>
          <w:sz w:val="32"/>
          <w:szCs w:val="32"/>
        </w:rPr>
        <w:t>2022</w:t>
      </w:r>
      <w:r>
        <w:rPr>
          <w:rFonts w:ascii="仿宋" w:hAnsi="仿宋" w:eastAsia="仿宋" w:cs="仿宋"/>
          <w:snapToGrid/>
          <w:spacing w:val="0"/>
          <w:w w:val="100"/>
          <w:kern w:val="32"/>
          <w:position w:val="0"/>
          <w:sz w:val="32"/>
          <w:szCs w:val="32"/>
        </w:rPr>
        <w:t xml:space="preserve">年第二批中央农业生产发展资金。提高稻谷最低收购价，在国家最低收购价基础上每百斤增加 </w:t>
      </w:r>
      <w:r>
        <w:rPr>
          <w:rFonts w:ascii="Times New Roman" w:hAnsi="Times New Roman" w:eastAsia="Times New Roman" w:cs="Times New Roman"/>
          <w:snapToGrid/>
          <w:spacing w:val="0"/>
          <w:w w:val="100"/>
          <w:kern w:val="32"/>
          <w:position w:val="0"/>
          <w:sz w:val="32"/>
          <w:szCs w:val="32"/>
        </w:rPr>
        <w:t xml:space="preserve">4 </w:t>
      </w:r>
      <w:r>
        <w:rPr>
          <w:rFonts w:ascii="仿宋" w:hAnsi="仿宋" w:eastAsia="仿宋" w:cs="仿宋"/>
          <w:snapToGrid/>
          <w:spacing w:val="0"/>
          <w:w w:val="100"/>
          <w:kern w:val="32"/>
          <w:position w:val="0"/>
          <w:sz w:val="32"/>
          <w:szCs w:val="32"/>
        </w:rPr>
        <w:t xml:space="preserve">元，落实好最低收购价执行预案。市本级对中短粒型早稻品种订单收购价格每百斤提高 </w:t>
      </w:r>
      <w:r>
        <w:rPr>
          <w:rFonts w:ascii="Times New Roman" w:hAnsi="Times New Roman" w:eastAsia="Times New Roman" w:cs="Times New Roman"/>
          <w:snapToGrid/>
          <w:spacing w:val="0"/>
          <w:w w:val="100"/>
          <w:kern w:val="32"/>
          <w:position w:val="0"/>
          <w:sz w:val="32"/>
          <w:szCs w:val="32"/>
        </w:rPr>
        <w:t>2</w:t>
      </w:r>
      <w:r>
        <w:rPr>
          <w:rFonts w:ascii="仿宋" w:hAnsi="仿宋" w:eastAsia="仿宋" w:cs="仿宋"/>
          <w:snapToGrid/>
          <w:spacing w:val="0"/>
          <w:w w:val="100"/>
          <w:kern w:val="32"/>
          <w:position w:val="0"/>
          <w:sz w:val="32"/>
          <w:szCs w:val="32"/>
        </w:rPr>
        <w:t>元，对规模种植</w:t>
      </w:r>
      <w:r>
        <w:rPr>
          <w:rFonts w:ascii="Times New Roman" w:hAnsi="Times New Roman" w:eastAsia="Times New Roman" w:cs="Times New Roman"/>
          <w:snapToGrid/>
          <w:spacing w:val="0"/>
          <w:w w:val="100"/>
          <w:kern w:val="32"/>
          <w:position w:val="0"/>
          <w:sz w:val="32"/>
          <w:szCs w:val="32"/>
        </w:rPr>
        <w:t>50</w:t>
      </w:r>
      <w:r>
        <w:rPr>
          <w:rFonts w:ascii="仿宋" w:hAnsi="仿宋" w:eastAsia="仿宋" w:cs="仿宋"/>
          <w:snapToGrid/>
          <w:spacing w:val="0"/>
          <w:w w:val="100"/>
          <w:kern w:val="32"/>
          <w:position w:val="0"/>
          <w:sz w:val="32"/>
          <w:szCs w:val="32"/>
        </w:rPr>
        <w:t>亩以上的</w:t>
      </w:r>
      <w:r>
        <w:rPr>
          <w:rFonts w:ascii="Times New Roman" w:hAnsi="Times New Roman" w:eastAsia="Times New Roman" w:cs="Times New Roman"/>
          <w:snapToGrid/>
          <w:spacing w:val="0"/>
          <w:w w:val="100"/>
          <w:kern w:val="32"/>
          <w:position w:val="0"/>
          <w:sz w:val="32"/>
          <w:szCs w:val="32"/>
        </w:rPr>
        <w:t>“</w:t>
      </w:r>
      <w:r>
        <w:rPr>
          <w:rFonts w:ascii="仿宋" w:hAnsi="仿宋" w:eastAsia="仿宋" w:cs="仿宋"/>
          <w:snapToGrid/>
          <w:spacing w:val="0"/>
          <w:w w:val="100"/>
          <w:kern w:val="32"/>
          <w:position w:val="0"/>
          <w:sz w:val="32"/>
          <w:szCs w:val="32"/>
        </w:rPr>
        <w:t>五优联动</w:t>
      </w:r>
      <w:r>
        <w:rPr>
          <w:rFonts w:ascii="Times New Roman" w:hAnsi="Times New Roman" w:eastAsia="Times New Roman" w:cs="Times New Roman"/>
          <w:snapToGrid/>
          <w:spacing w:val="0"/>
          <w:w w:val="100"/>
          <w:kern w:val="32"/>
          <w:position w:val="0"/>
          <w:sz w:val="32"/>
          <w:szCs w:val="32"/>
        </w:rPr>
        <w:t xml:space="preserve">” </w:t>
      </w:r>
      <w:r>
        <w:rPr>
          <w:rFonts w:ascii="仿宋" w:hAnsi="仿宋" w:eastAsia="仿宋" w:cs="仿宋"/>
          <w:snapToGrid/>
          <w:spacing w:val="0"/>
          <w:w w:val="100"/>
          <w:kern w:val="32"/>
          <w:position w:val="0"/>
          <w:sz w:val="32"/>
          <w:szCs w:val="32"/>
        </w:rPr>
        <w:t>中晚稻品种订单收购价格每百斤提高</w:t>
      </w:r>
      <w:r>
        <w:rPr>
          <w:rFonts w:ascii="Times New Roman" w:hAnsi="Times New Roman" w:eastAsia="Times New Roman" w:cs="Times New Roman"/>
          <w:snapToGrid/>
          <w:spacing w:val="0"/>
          <w:w w:val="100"/>
          <w:kern w:val="32"/>
          <w:position w:val="0"/>
          <w:sz w:val="32"/>
          <w:szCs w:val="32"/>
        </w:rPr>
        <w:t xml:space="preserve">5 </w:t>
      </w:r>
      <w:r>
        <w:rPr>
          <w:rFonts w:ascii="仿宋" w:hAnsi="仿宋" w:eastAsia="仿宋" w:cs="仿宋"/>
          <w:snapToGrid/>
          <w:spacing w:val="0"/>
          <w:w w:val="100"/>
          <w:kern w:val="32"/>
          <w:position w:val="0"/>
          <w:sz w:val="32"/>
          <w:szCs w:val="32"/>
        </w:rPr>
        <w:t xml:space="preserve">元。早稻实行订单全覆盖、应收尽收，晚稻实行带订单奖励市内余缺调剂，扩大订单惠农覆盖面。提高水稻保险保额，实行全域水稻完全成本保险，全域实行早稻补充保额每亩 </w:t>
      </w:r>
      <w:r>
        <w:rPr>
          <w:rFonts w:ascii="Times New Roman" w:hAnsi="Times New Roman" w:eastAsia="Times New Roman" w:cs="Times New Roman"/>
          <w:snapToGrid/>
          <w:spacing w:val="0"/>
          <w:w w:val="100"/>
          <w:kern w:val="32"/>
          <w:position w:val="0"/>
          <w:sz w:val="32"/>
          <w:szCs w:val="32"/>
        </w:rPr>
        <w:t>200</w:t>
      </w:r>
      <w:r>
        <w:rPr>
          <w:rFonts w:ascii="仿宋" w:hAnsi="仿宋" w:eastAsia="仿宋" w:cs="仿宋"/>
          <w:snapToGrid/>
          <w:spacing w:val="0"/>
          <w:w w:val="100"/>
          <w:kern w:val="32"/>
          <w:position w:val="0"/>
          <w:sz w:val="32"/>
          <w:szCs w:val="32"/>
        </w:rPr>
        <w:t xml:space="preserve">元，单季稻和晚稻补充保额每亩 </w:t>
      </w:r>
      <w:r>
        <w:rPr>
          <w:rFonts w:ascii="Times New Roman" w:hAnsi="Times New Roman" w:eastAsia="Times New Roman" w:cs="Times New Roman"/>
          <w:snapToGrid/>
          <w:spacing w:val="0"/>
          <w:w w:val="100"/>
          <w:kern w:val="32"/>
          <w:position w:val="0"/>
          <w:sz w:val="32"/>
          <w:szCs w:val="32"/>
        </w:rPr>
        <w:t>400</w:t>
      </w:r>
      <w:r>
        <w:rPr>
          <w:rFonts w:ascii="仿宋" w:hAnsi="仿宋" w:eastAsia="仿宋" w:cs="仿宋"/>
          <w:snapToGrid/>
          <w:spacing w:val="0"/>
          <w:w w:val="100"/>
          <w:kern w:val="32"/>
          <w:position w:val="0"/>
          <w:sz w:val="32"/>
          <w:szCs w:val="32"/>
        </w:rPr>
        <w:t xml:space="preserve">元，保障程度从每亩最高 </w:t>
      </w:r>
      <w:r>
        <w:rPr>
          <w:rFonts w:ascii="Times New Roman" w:hAnsi="Times New Roman" w:eastAsia="Times New Roman" w:cs="Times New Roman"/>
          <w:snapToGrid/>
          <w:spacing w:val="0"/>
          <w:w w:val="100"/>
          <w:kern w:val="32"/>
          <w:position w:val="0"/>
          <w:sz w:val="32"/>
          <w:szCs w:val="32"/>
        </w:rPr>
        <w:t>1000</w:t>
      </w:r>
      <w:r>
        <w:rPr>
          <w:rFonts w:ascii="仿宋" w:hAnsi="仿宋" w:eastAsia="仿宋" w:cs="仿宋"/>
          <w:snapToGrid/>
          <w:spacing w:val="0"/>
          <w:w w:val="100"/>
          <w:kern w:val="32"/>
          <w:position w:val="0"/>
          <w:sz w:val="32"/>
          <w:szCs w:val="32"/>
        </w:rPr>
        <w:t xml:space="preserve">元提高到 </w:t>
      </w:r>
      <w:r>
        <w:rPr>
          <w:rFonts w:ascii="Times New Roman" w:hAnsi="Times New Roman" w:eastAsia="Times New Roman" w:cs="Times New Roman"/>
          <w:snapToGrid/>
          <w:spacing w:val="0"/>
          <w:w w:val="100"/>
          <w:kern w:val="32"/>
          <w:position w:val="0"/>
          <w:sz w:val="32"/>
          <w:szCs w:val="32"/>
        </w:rPr>
        <w:t>1400</w:t>
      </w:r>
      <w:r>
        <w:rPr>
          <w:rFonts w:ascii="仿宋" w:hAnsi="仿宋" w:eastAsia="仿宋" w:cs="仿宋"/>
          <w:snapToGrid/>
          <w:spacing w:val="0"/>
          <w:w w:val="100"/>
          <w:kern w:val="32"/>
          <w:position w:val="0"/>
          <w:sz w:val="32"/>
          <w:szCs w:val="32"/>
        </w:rPr>
        <w:t>元。</w:t>
      </w:r>
      <w:r>
        <w:rPr>
          <w:rFonts w:hint="eastAsia" w:ascii="仿宋" w:hAnsi="仿宋" w:eastAsia="仿宋" w:cs="仿宋"/>
          <w:snapToGrid/>
          <w:spacing w:val="0"/>
          <w:w w:val="100"/>
          <w:kern w:val="32"/>
          <w:position w:val="0"/>
          <w:sz w:val="32"/>
          <w:szCs w:val="32"/>
          <w:lang w:eastAsia="zh-CN"/>
        </w:rPr>
        <w:t>（</w:t>
      </w:r>
      <w:r>
        <w:rPr>
          <w:rFonts w:hint="eastAsia" w:ascii="仿宋" w:hAnsi="仿宋" w:eastAsia="仿宋" w:cs="仿宋"/>
          <w:snapToGrid/>
          <w:spacing w:val="0"/>
          <w:w w:val="100"/>
          <w:kern w:val="32"/>
          <w:position w:val="0"/>
          <w:sz w:val="32"/>
          <w:szCs w:val="32"/>
          <w:lang w:val="en-US" w:eastAsia="zh-CN"/>
        </w:rPr>
        <w:t>责任单位：</w:t>
      </w:r>
      <w:r>
        <w:rPr>
          <w:rFonts w:hint="eastAsia" w:ascii="仿宋" w:hAnsi="仿宋" w:eastAsia="仿宋" w:cs="仿宋"/>
          <w:snapToGrid/>
          <w:color w:val="FF0000"/>
          <w:spacing w:val="0"/>
          <w:w w:val="100"/>
          <w:kern w:val="32"/>
          <w:position w:val="0"/>
          <w:sz w:val="32"/>
          <w:szCs w:val="32"/>
          <w:lang w:val="en-US" w:eastAsia="zh-CN"/>
        </w:rPr>
        <w:t>市农业农村局</w:t>
      </w:r>
      <w:r>
        <w:rPr>
          <w:rFonts w:hint="eastAsia" w:ascii="仿宋" w:hAnsi="仿宋" w:eastAsia="仿宋" w:cs="仿宋"/>
          <w:snapToGrid/>
          <w:color w:val="auto"/>
          <w:spacing w:val="0"/>
          <w:w w:val="100"/>
          <w:kern w:val="32"/>
          <w:position w:val="0"/>
          <w:sz w:val="32"/>
          <w:szCs w:val="32"/>
          <w:lang w:val="en-US" w:eastAsia="zh-CN"/>
        </w:rPr>
        <w:t>、市经发局-发改口、粮食口、市财政局）</w:t>
      </w:r>
    </w:p>
    <w:p>
      <w:pPr>
        <w:keepNext w:val="0"/>
        <w:keepLines w:val="0"/>
        <w:pageBreakBefore w:val="0"/>
        <w:widowControl/>
        <w:kinsoku w:val="0"/>
        <w:wordWrap/>
        <w:overflowPunct/>
        <w:topLinePunct w:val="0"/>
        <w:autoSpaceDE w:val="0"/>
        <w:autoSpaceDN w:val="0"/>
        <w:bidi w:val="0"/>
        <w:adjustRightInd w:val="0"/>
        <w:snapToGrid/>
        <w:spacing w:line="240" w:lineRule="auto"/>
        <w:ind w:firstLine="642"/>
        <w:textAlignment w:val="baseline"/>
        <w:rPr>
          <w:rFonts w:hint="eastAsia" w:ascii="仿宋" w:hAnsi="仿宋" w:eastAsia="仿宋" w:cs="仿宋"/>
          <w:snapToGrid/>
          <w:spacing w:val="0"/>
          <w:w w:val="100"/>
          <w:kern w:val="32"/>
          <w:position w:val="0"/>
          <w:sz w:val="32"/>
          <w:szCs w:val="32"/>
          <w:lang w:eastAsia="zh-CN"/>
        </w:rPr>
      </w:pPr>
      <w:r>
        <w:rPr>
          <w:rFonts w:ascii="Times New Roman" w:hAnsi="Times New Roman" w:eastAsia="Times New Roman" w:cs="Times New Roman"/>
          <w:snapToGrid/>
          <w:spacing w:val="0"/>
          <w:w w:val="100"/>
          <w:kern w:val="32"/>
          <w:position w:val="0"/>
          <w:sz w:val="32"/>
          <w:szCs w:val="32"/>
        </w:rPr>
        <w:t>28.</w:t>
      </w:r>
      <w:r>
        <w:rPr>
          <w:rFonts w:ascii="楷体" w:hAnsi="楷体" w:eastAsia="楷体" w:cs="楷体"/>
          <w:snapToGrid/>
          <w:spacing w:val="0"/>
          <w:w w:val="100"/>
          <w:kern w:val="32"/>
          <w:position w:val="0"/>
          <w:sz w:val="32"/>
          <w:szCs w:val="32"/>
        </w:rPr>
        <w:t>推动实施一批重大能源项目。</w:t>
      </w:r>
      <w:r>
        <w:rPr>
          <w:rFonts w:ascii="仿宋" w:hAnsi="仿宋" w:eastAsia="仿宋" w:cs="仿宋"/>
          <w:snapToGrid/>
          <w:spacing w:val="0"/>
          <w:w w:val="100"/>
          <w:kern w:val="32"/>
          <w:position w:val="0"/>
          <w:sz w:val="32"/>
          <w:szCs w:val="32"/>
        </w:rPr>
        <w:t xml:space="preserve">加快三澳核电一期、乐清电厂三期、泰顺抽水蓄能、苍南 </w:t>
      </w:r>
      <w:r>
        <w:rPr>
          <w:rFonts w:ascii="Times New Roman" w:hAnsi="Times New Roman" w:eastAsia="Times New Roman" w:cs="Times New Roman"/>
          <w:snapToGrid/>
          <w:spacing w:val="0"/>
          <w:w w:val="100"/>
          <w:kern w:val="32"/>
          <w:position w:val="0"/>
          <w:sz w:val="32"/>
          <w:szCs w:val="32"/>
        </w:rPr>
        <w:t xml:space="preserve">1 </w:t>
      </w:r>
      <w:r>
        <w:rPr>
          <w:rFonts w:ascii="仿宋" w:hAnsi="仿宋" w:eastAsia="仿宋" w:cs="仿宋"/>
          <w:snapToGrid/>
          <w:spacing w:val="0"/>
          <w:w w:val="100"/>
          <w:kern w:val="32"/>
          <w:position w:val="0"/>
          <w:sz w:val="32"/>
          <w:szCs w:val="32"/>
        </w:rPr>
        <w:t>号、</w:t>
      </w:r>
      <w:r>
        <w:rPr>
          <w:rFonts w:ascii="Times New Roman" w:hAnsi="Times New Roman" w:eastAsia="Times New Roman" w:cs="Times New Roman"/>
          <w:snapToGrid/>
          <w:spacing w:val="0"/>
          <w:w w:val="100"/>
          <w:kern w:val="32"/>
          <w:position w:val="0"/>
          <w:sz w:val="32"/>
          <w:szCs w:val="32"/>
        </w:rPr>
        <w:t xml:space="preserve">2 </w:t>
      </w:r>
      <w:r>
        <w:rPr>
          <w:rFonts w:ascii="仿宋" w:hAnsi="仿宋" w:eastAsia="仿宋" w:cs="仿宋"/>
          <w:snapToGrid/>
          <w:spacing w:val="0"/>
          <w:w w:val="100"/>
          <w:kern w:val="32"/>
          <w:position w:val="0"/>
          <w:sz w:val="32"/>
          <w:szCs w:val="32"/>
        </w:rPr>
        <w:t>号、</w:t>
      </w:r>
      <w:r>
        <w:rPr>
          <w:rFonts w:ascii="Times New Roman" w:hAnsi="Times New Roman" w:eastAsia="Times New Roman" w:cs="Times New Roman"/>
          <w:snapToGrid/>
          <w:spacing w:val="0"/>
          <w:w w:val="100"/>
          <w:kern w:val="32"/>
          <w:position w:val="0"/>
          <w:sz w:val="32"/>
          <w:szCs w:val="32"/>
        </w:rPr>
        <w:t xml:space="preserve">4 </w:t>
      </w:r>
      <w:r>
        <w:rPr>
          <w:rFonts w:ascii="仿宋" w:hAnsi="仿宋" w:eastAsia="仿宋" w:cs="仿宋"/>
          <w:snapToGrid/>
          <w:spacing w:val="0"/>
          <w:w w:val="100"/>
          <w:kern w:val="32"/>
          <w:position w:val="0"/>
          <w:sz w:val="32"/>
          <w:szCs w:val="32"/>
        </w:rPr>
        <w:t xml:space="preserve">号海上风电、龙港滩涂光伏、浙能温州 </w:t>
      </w:r>
      <w:r>
        <w:rPr>
          <w:rFonts w:ascii="Times New Roman" w:hAnsi="Times New Roman" w:eastAsia="Times New Roman" w:cs="Times New Roman"/>
          <w:snapToGrid/>
          <w:spacing w:val="0"/>
          <w:w w:val="100"/>
          <w:kern w:val="32"/>
          <w:position w:val="0"/>
          <w:sz w:val="32"/>
          <w:szCs w:val="32"/>
        </w:rPr>
        <w:t xml:space="preserve">LNG </w:t>
      </w:r>
      <w:r>
        <w:rPr>
          <w:rFonts w:ascii="仿宋" w:hAnsi="仿宋" w:eastAsia="仿宋" w:cs="仿宋"/>
          <w:snapToGrid/>
          <w:spacing w:val="0"/>
          <w:w w:val="100"/>
          <w:kern w:val="32"/>
          <w:position w:val="0"/>
          <w:sz w:val="32"/>
          <w:szCs w:val="32"/>
        </w:rPr>
        <w:t xml:space="preserve">、温州华港 </w:t>
      </w:r>
      <w:r>
        <w:rPr>
          <w:rFonts w:ascii="Times New Roman" w:hAnsi="Times New Roman" w:eastAsia="Times New Roman" w:cs="Times New Roman"/>
          <w:snapToGrid/>
          <w:spacing w:val="0"/>
          <w:w w:val="100"/>
          <w:kern w:val="32"/>
          <w:position w:val="0"/>
          <w:sz w:val="32"/>
          <w:szCs w:val="32"/>
        </w:rPr>
        <w:t xml:space="preserve">LNG </w:t>
      </w:r>
      <w:r>
        <w:rPr>
          <w:rFonts w:ascii="仿宋" w:hAnsi="仿宋" w:eastAsia="仿宋" w:cs="仿宋"/>
          <w:snapToGrid/>
          <w:spacing w:val="0"/>
          <w:w w:val="100"/>
          <w:kern w:val="32"/>
          <w:position w:val="0"/>
          <w:sz w:val="32"/>
          <w:szCs w:val="32"/>
        </w:rPr>
        <w:t xml:space="preserve">等在建项目建设进度，确保完成年度建设任务。推进三澳核电二期三期、华润电厂二期、永嘉抽水蓄能、文成抽水蓄能、川气东送二线温州段、华港 </w:t>
      </w:r>
      <w:r>
        <w:rPr>
          <w:rFonts w:ascii="Times New Roman" w:hAnsi="Times New Roman" w:eastAsia="Times New Roman" w:cs="Times New Roman"/>
          <w:snapToGrid/>
          <w:spacing w:val="0"/>
          <w:w w:val="100"/>
          <w:kern w:val="32"/>
          <w:position w:val="0"/>
          <w:sz w:val="32"/>
          <w:szCs w:val="32"/>
        </w:rPr>
        <w:t xml:space="preserve">LNG </w:t>
      </w:r>
      <w:r>
        <w:rPr>
          <w:rFonts w:ascii="仿宋" w:hAnsi="仿宋" w:eastAsia="仿宋" w:cs="仿宋"/>
          <w:snapToGrid/>
          <w:spacing w:val="0"/>
          <w:w w:val="100"/>
          <w:kern w:val="32"/>
          <w:position w:val="0"/>
          <w:sz w:val="32"/>
          <w:szCs w:val="32"/>
        </w:rPr>
        <w:t>外输管道、全域海上风电等项目前期工作。</w:t>
      </w:r>
      <w:r>
        <w:rPr>
          <w:rFonts w:hint="eastAsia" w:ascii="仿宋" w:hAnsi="仿宋" w:eastAsia="仿宋" w:cs="仿宋"/>
          <w:snapToGrid/>
          <w:spacing w:val="0"/>
          <w:w w:val="100"/>
          <w:kern w:val="32"/>
          <w:position w:val="0"/>
          <w:sz w:val="32"/>
          <w:szCs w:val="32"/>
          <w:lang w:eastAsia="zh-CN"/>
        </w:rPr>
        <w:t>（</w:t>
      </w:r>
      <w:r>
        <w:rPr>
          <w:rFonts w:hint="eastAsia" w:ascii="仿宋" w:hAnsi="仿宋" w:eastAsia="仿宋" w:cs="仿宋"/>
          <w:snapToGrid/>
          <w:spacing w:val="0"/>
          <w:w w:val="100"/>
          <w:kern w:val="32"/>
          <w:position w:val="0"/>
          <w:sz w:val="32"/>
          <w:szCs w:val="32"/>
          <w:lang w:val="en-US" w:eastAsia="zh-CN"/>
        </w:rPr>
        <w:t>责任单位：</w:t>
      </w:r>
      <w:r>
        <w:rPr>
          <w:rFonts w:hint="eastAsia" w:ascii="仿宋" w:hAnsi="仿宋" w:eastAsia="仿宋" w:cs="仿宋"/>
          <w:snapToGrid/>
          <w:color w:val="FF0000"/>
          <w:spacing w:val="0"/>
          <w:w w:val="100"/>
          <w:kern w:val="32"/>
          <w:position w:val="0"/>
          <w:sz w:val="32"/>
          <w:szCs w:val="32"/>
          <w:lang w:val="en-US" w:eastAsia="zh-CN"/>
        </w:rPr>
        <w:t>市经发局-</w:t>
      </w:r>
      <w:r>
        <w:rPr>
          <w:rFonts w:hint="default" w:ascii="仿宋" w:hAnsi="仿宋" w:eastAsia="仿宋" w:cs="仿宋"/>
          <w:snapToGrid/>
          <w:color w:val="FF0000"/>
          <w:spacing w:val="0"/>
          <w:w w:val="100"/>
          <w:kern w:val="32"/>
          <w:position w:val="0"/>
          <w:sz w:val="32"/>
          <w:szCs w:val="32"/>
          <w:lang w:eastAsia="zh-CN"/>
        </w:rPr>
        <w:t>能源</w:t>
      </w:r>
      <w:r>
        <w:rPr>
          <w:rFonts w:hint="eastAsia" w:ascii="仿宋" w:hAnsi="仿宋" w:eastAsia="仿宋" w:cs="仿宋"/>
          <w:snapToGrid/>
          <w:color w:val="FF0000"/>
          <w:spacing w:val="0"/>
          <w:w w:val="100"/>
          <w:kern w:val="32"/>
          <w:position w:val="0"/>
          <w:sz w:val="32"/>
          <w:szCs w:val="32"/>
          <w:lang w:val="en-US" w:eastAsia="zh-CN"/>
        </w:rPr>
        <w:t>口</w:t>
      </w:r>
      <w:r>
        <w:rPr>
          <w:rFonts w:hint="eastAsia" w:ascii="仿宋" w:hAnsi="仿宋" w:eastAsia="仿宋" w:cs="仿宋"/>
          <w:snapToGrid/>
          <w:spacing w:val="0"/>
          <w:w w:val="100"/>
          <w:kern w:val="32"/>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spacing w:line="240" w:lineRule="auto"/>
        <w:ind w:firstLine="642"/>
        <w:textAlignment w:val="baseline"/>
        <w:rPr>
          <w:rFonts w:hint="eastAsia" w:ascii="仿宋" w:hAnsi="仿宋" w:eastAsia="仿宋" w:cs="仿宋"/>
          <w:snapToGrid/>
          <w:color w:val="auto"/>
          <w:spacing w:val="0"/>
          <w:w w:val="100"/>
          <w:kern w:val="32"/>
          <w:position w:val="0"/>
          <w:sz w:val="32"/>
          <w:szCs w:val="32"/>
          <w:lang w:val="en-US" w:eastAsia="zh-CN"/>
        </w:rPr>
      </w:pPr>
      <w:r>
        <w:rPr>
          <w:rFonts w:ascii="Times New Roman" w:hAnsi="Times New Roman" w:eastAsia="Times New Roman" w:cs="Times New Roman"/>
          <w:snapToGrid/>
          <w:spacing w:val="0"/>
          <w:w w:val="100"/>
          <w:kern w:val="32"/>
          <w:position w:val="0"/>
          <w:sz w:val="32"/>
          <w:szCs w:val="32"/>
        </w:rPr>
        <w:t>29.</w:t>
      </w:r>
      <w:r>
        <w:rPr>
          <w:rFonts w:ascii="楷体" w:hAnsi="楷体" w:eastAsia="楷体" w:cs="楷体"/>
          <w:snapToGrid/>
          <w:spacing w:val="0"/>
          <w:w w:val="100"/>
          <w:kern w:val="32"/>
          <w:position w:val="0"/>
          <w:sz w:val="32"/>
          <w:szCs w:val="32"/>
        </w:rPr>
        <w:t>提高煤炭储备能力和利用效率。</w:t>
      </w:r>
      <w:r>
        <w:rPr>
          <w:rFonts w:ascii="仿宋" w:hAnsi="仿宋" w:eastAsia="仿宋" w:cs="仿宋"/>
          <w:snapToGrid/>
          <w:spacing w:val="0"/>
          <w:w w:val="100"/>
          <w:kern w:val="32"/>
          <w:position w:val="0"/>
          <w:sz w:val="32"/>
          <w:szCs w:val="32"/>
        </w:rPr>
        <w:t>发电企业落实电力保供、燃料保障主体责任，严格落实发电供热用煤中长期合同全覆盖要求，确保电煤库存满足国家要求的安全底线。交通、海事等部门加快协调解决温州电厂电煤船只进出航道问题，提升港 口电煤运输能力。坚持绿色低碳发展理念，统筹考虑实现碳达峰目标要求、促进煤炭消费转型升级、便于企业操作实施等因素，引导企业有序开展煤炭清洁高效利用改造，加快推动企业减污降碳。</w:t>
      </w:r>
      <w:r>
        <w:rPr>
          <w:rFonts w:hint="eastAsia" w:ascii="仿宋" w:hAnsi="仿宋" w:eastAsia="仿宋" w:cs="仿宋"/>
          <w:snapToGrid/>
          <w:spacing w:val="0"/>
          <w:w w:val="100"/>
          <w:kern w:val="32"/>
          <w:position w:val="0"/>
          <w:sz w:val="32"/>
          <w:szCs w:val="32"/>
          <w:lang w:eastAsia="zh-CN"/>
        </w:rPr>
        <w:t>（</w:t>
      </w:r>
      <w:r>
        <w:rPr>
          <w:rFonts w:hint="eastAsia" w:ascii="仿宋" w:hAnsi="仿宋" w:eastAsia="仿宋" w:cs="仿宋"/>
          <w:snapToGrid/>
          <w:spacing w:val="0"/>
          <w:w w:val="100"/>
          <w:kern w:val="32"/>
          <w:position w:val="0"/>
          <w:sz w:val="32"/>
          <w:szCs w:val="32"/>
          <w:lang w:val="en-US" w:eastAsia="zh-CN"/>
        </w:rPr>
        <w:t>责任单位：</w:t>
      </w:r>
      <w:r>
        <w:rPr>
          <w:rFonts w:hint="eastAsia" w:ascii="仿宋" w:hAnsi="仿宋" w:eastAsia="仿宋" w:cs="仿宋"/>
          <w:snapToGrid/>
          <w:color w:val="FF0000"/>
          <w:spacing w:val="0"/>
          <w:w w:val="100"/>
          <w:kern w:val="32"/>
          <w:position w:val="0"/>
          <w:sz w:val="32"/>
          <w:szCs w:val="32"/>
          <w:lang w:val="en-US" w:eastAsia="zh-CN"/>
        </w:rPr>
        <w:t>市经发局-能源口</w:t>
      </w:r>
      <w:r>
        <w:rPr>
          <w:rFonts w:hint="eastAsia" w:ascii="仿宋" w:hAnsi="仿宋" w:eastAsia="仿宋" w:cs="仿宋"/>
          <w:snapToGrid/>
          <w:color w:val="auto"/>
          <w:spacing w:val="0"/>
          <w:w w:val="100"/>
          <w:kern w:val="32"/>
          <w:position w:val="0"/>
          <w:sz w:val="32"/>
          <w:szCs w:val="32"/>
          <w:lang w:val="en-US" w:eastAsia="zh-CN"/>
        </w:rPr>
        <w:t>、市自然资源与规划建设局）</w:t>
      </w:r>
    </w:p>
    <w:p>
      <w:pPr>
        <w:keepNext w:val="0"/>
        <w:keepLines w:val="0"/>
        <w:pageBreakBefore w:val="0"/>
        <w:widowControl/>
        <w:kinsoku w:val="0"/>
        <w:wordWrap/>
        <w:overflowPunct/>
        <w:topLinePunct w:val="0"/>
        <w:autoSpaceDE w:val="0"/>
        <w:autoSpaceDN w:val="0"/>
        <w:bidi w:val="0"/>
        <w:adjustRightInd w:val="0"/>
        <w:snapToGrid/>
        <w:spacing w:line="240" w:lineRule="auto"/>
        <w:ind w:firstLine="642"/>
        <w:textAlignment w:val="baseline"/>
        <w:rPr>
          <w:rFonts w:hint="eastAsia" w:ascii="仿宋" w:hAnsi="仿宋" w:eastAsia="仿宋" w:cs="仿宋"/>
          <w:snapToGrid/>
          <w:color w:val="auto"/>
          <w:spacing w:val="0"/>
          <w:w w:val="100"/>
          <w:kern w:val="32"/>
          <w:position w:val="0"/>
          <w:sz w:val="32"/>
          <w:szCs w:val="32"/>
          <w:lang w:val="en-US" w:eastAsia="zh-CN"/>
        </w:rPr>
      </w:pPr>
      <w:r>
        <w:rPr>
          <w:rFonts w:ascii="Times New Roman" w:hAnsi="Times New Roman" w:eastAsia="Times New Roman" w:cs="Times New Roman"/>
          <w:snapToGrid/>
          <w:spacing w:val="0"/>
          <w:w w:val="100"/>
          <w:kern w:val="32"/>
          <w:position w:val="0"/>
          <w:sz w:val="32"/>
          <w:szCs w:val="32"/>
        </w:rPr>
        <w:t>30.</w:t>
      </w:r>
      <w:r>
        <w:rPr>
          <w:rFonts w:ascii="楷体" w:hAnsi="楷体" w:eastAsia="楷体" w:cs="楷体"/>
          <w:snapToGrid/>
          <w:spacing w:val="0"/>
          <w:w w:val="100"/>
          <w:kern w:val="32"/>
          <w:position w:val="0"/>
          <w:sz w:val="32"/>
          <w:szCs w:val="32"/>
        </w:rPr>
        <w:t>提升原油等能源资源储备能力。</w:t>
      </w:r>
      <w:r>
        <w:rPr>
          <w:rFonts w:ascii="仿宋" w:hAnsi="仿宋" w:eastAsia="仿宋" w:cs="仿宋"/>
          <w:snapToGrid/>
          <w:spacing w:val="0"/>
          <w:w w:val="100"/>
          <w:kern w:val="32"/>
          <w:position w:val="0"/>
          <w:sz w:val="32"/>
          <w:szCs w:val="32"/>
        </w:rPr>
        <w:t>督促落实成品油储备调运主体责任，确保我市成品油市场稳定供应。加快推进中石化灵昆油库项目建设进度，提升我市油品储运能力。增强适应经济社会发展以及各种极端情况的能源供应保障能力，优化能源储备设施布局。</w:t>
      </w:r>
      <w:r>
        <w:rPr>
          <w:rFonts w:hint="eastAsia" w:ascii="仿宋" w:hAnsi="仿宋" w:eastAsia="仿宋" w:cs="仿宋"/>
          <w:snapToGrid/>
          <w:spacing w:val="0"/>
          <w:w w:val="100"/>
          <w:kern w:val="32"/>
          <w:position w:val="0"/>
          <w:sz w:val="32"/>
          <w:szCs w:val="32"/>
          <w:lang w:eastAsia="zh-CN"/>
        </w:rPr>
        <w:t>（</w:t>
      </w:r>
      <w:r>
        <w:rPr>
          <w:rFonts w:hint="eastAsia" w:ascii="仿宋" w:hAnsi="仿宋" w:eastAsia="仿宋" w:cs="仿宋"/>
          <w:snapToGrid/>
          <w:spacing w:val="0"/>
          <w:w w:val="100"/>
          <w:kern w:val="32"/>
          <w:position w:val="0"/>
          <w:sz w:val="32"/>
          <w:szCs w:val="32"/>
          <w:lang w:val="en-US" w:eastAsia="zh-CN"/>
        </w:rPr>
        <w:t>责任单位：</w:t>
      </w:r>
      <w:r>
        <w:rPr>
          <w:rFonts w:hint="eastAsia" w:ascii="仿宋" w:hAnsi="仿宋" w:eastAsia="仿宋" w:cs="仿宋"/>
          <w:snapToGrid/>
          <w:color w:val="FF0000"/>
          <w:spacing w:val="0"/>
          <w:w w:val="100"/>
          <w:kern w:val="32"/>
          <w:position w:val="0"/>
          <w:sz w:val="32"/>
          <w:szCs w:val="32"/>
          <w:lang w:val="en-US" w:eastAsia="zh-CN"/>
        </w:rPr>
        <w:t>市经发局-能源口</w:t>
      </w:r>
      <w:r>
        <w:rPr>
          <w:rFonts w:hint="eastAsia" w:ascii="仿宋" w:hAnsi="仿宋" w:eastAsia="仿宋" w:cs="仿宋"/>
          <w:snapToGrid/>
          <w:color w:val="auto"/>
          <w:spacing w:val="0"/>
          <w:w w:val="100"/>
          <w:kern w:val="32"/>
          <w:position w:val="0"/>
          <w:sz w:val="32"/>
          <w:szCs w:val="32"/>
          <w:lang w:val="en-US" w:eastAsia="zh-CN"/>
        </w:rPr>
        <w:t>、国网龙港供电有限公司）</w:t>
      </w:r>
    </w:p>
    <w:p>
      <w:pPr>
        <w:keepNext w:val="0"/>
        <w:keepLines w:val="0"/>
        <w:pageBreakBefore w:val="0"/>
        <w:widowControl/>
        <w:kinsoku w:val="0"/>
        <w:wordWrap/>
        <w:overflowPunct/>
        <w:topLinePunct w:val="0"/>
        <w:autoSpaceDE w:val="0"/>
        <w:autoSpaceDN w:val="0"/>
        <w:bidi w:val="0"/>
        <w:adjustRightInd w:val="0"/>
        <w:snapToGrid/>
        <w:spacing w:line="240" w:lineRule="auto"/>
        <w:ind w:firstLine="648"/>
        <w:textAlignment w:val="baseline"/>
        <w:rPr>
          <w:rFonts w:ascii="黑体" w:hAnsi="黑体" w:eastAsia="黑体" w:cs="黑体"/>
          <w:snapToGrid/>
          <w:spacing w:val="0"/>
          <w:w w:val="100"/>
          <w:kern w:val="32"/>
          <w:position w:val="0"/>
          <w:sz w:val="32"/>
          <w:szCs w:val="32"/>
        </w:rPr>
      </w:pPr>
      <w:r>
        <w:rPr>
          <w:rFonts w:ascii="黑体" w:hAnsi="黑体" w:eastAsia="黑体" w:cs="黑体"/>
          <w:snapToGrid/>
          <w:spacing w:val="0"/>
          <w:w w:val="100"/>
          <w:kern w:val="32"/>
          <w:position w:val="0"/>
          <w:sz w:val="32"/>
          <w:szCs w:val="32"/>
        </w:rPr>
        <w:t>七、保产业链供应链稳定措施（</w:t>
      </w:r>
      <w:r>
        <w:rPr>
          <w:rFonts w:ascii="Times New Roman" w:hAnsi="Times New Roman" w:eastAsia="Times New Roman" w:cs="Times New Roman"/>
          <w:snapToGrid/>
          <w:spacing w:val="0"/>
          <w:w w:val="100"/>
          <w:kern w:val="32"/>
          <w:position w:val="0"/>
          <w:sz w:val="32"/>
          <w:szCs w:val="32"/>
        </w:rPr>
        <w:t>5</w:t>
      </w:r>
      <w:r>
        <w:rPr>
          <w:rFonts w:ascii="黑体" w:hAnsi="黑体" w:eastAsia="黑体" w:cs="黑体"/>
          <w:snapToGrid/>
          <w:spacing w:val="0"/>
          <w:w w:val="100"/>
          <w:kern w:val="32"/>
          <w:position w:val="0"/>
          <w:sz w:val="32"/>
          <w:szCs w:val="32"/>
        </w:rPr>
        <w:t>项）</w:t>
      </w:r>
    </w:p>
    <w:p>
      <w:pPr>
        <w:keepNext w:val="0"/>
        <w:keepLines w:val="0"/>
        <w:pageBreakBefore w:val="0"/>
        <w:widowControl/>
        <w:kinsoku w:val="0"/>
        <w:wordWrap/>
        <w:overflowPunct/>
        <w:topLinePunct w:val="0"/>
        <w:autoSpaceDE w:val="0"/>
        <w:autoSpaceDN w:val="0"/>
        <w:bidi w:val="0"/>
        <w:adjustRightInd w:val="0"/>
        <w:snapToGrid/>
        <w:spacing w:line="240" w:lineRule="auto"/>
        <w:ind w:firstLine="642"/>
        <w:textAlignment w:val="baseline"/>
        <w:rPr>
          <w:rFonts w:hint="eastAsia" w:ascii="仿宋" w:hAnsi="仿宋" w:eastAsia="仿宋" w:cs="仿宋"/>
          <w:snapToGrid/>
          <w:color w:val="auto"/>
          <w:spacing w:val="0"/>
          <w:w w:val="100"/>
          <w:kern w:val="32"/>
          <w:position w:val="0"/>
          <w:sz w:val="32"/>
          <w:szCs w:val="32"/>
          <w:lang w:val="en-US" w:eastAsia="zh-CN"/>
        </w:rPr>
      </w:pPr>
      <w:r>
        <w:rPr>
          <w:rFonts w:ascii="Times New Roman" w:hAnsi="Times New Roman" w:eastAsia="Times New Roman" w:cs="Times New Roman"/>
          <w:snapToGrid/>
          <w:spacing w:val="0"/>
          <w:w w:val="100"/>
          <w:kern w:val="32"/>
          <w:position w:val="0"/>
          <w:sz w:val="32"/>
          <w:szCs w:val="32"/>
        </w:rPr>
        <w:t>31.</w:t>
      </w:r>
      <w:r>
        <w:rPr>
          <w:rFonts w:ascii="楷体" w:hAnsi="楷体" w:eastAsia="楷体" w:cs="楷体"/>
          <w:snapToGrid/>
          <w:spacing w:val="0"/>
          <w:w w:val="100"/>
          <w:kern w:val="32"/>
          <w:position w:val="0"/>
          <w:sz w:val="32"/>
          <w:szCs w:val="32"/>
        </w:rPr>
        <w:t>降低市场主体用水用电用网等成本。</w:t>
      </w:r>
      <w:r>
        <w:rPr>
          <w:rFonts w:ascii="仿宋" w:hAnsi="仿宋" w:eastAsia="仿宋" w:cs="仿宋"/>
          <w:snapToGrid/>
          <w:spacing w:val="0"/>
          <w:w w:val="100"/>
          <w:kern w:val="32"/>
          <w:position w:val="0"/>
          <w:sz w:val="32"/>
          <w:szCs w:val="32"/>
        </w:rPr>
        <w:t>鼓励各县（市、区）政府继续对小微企业和个体工商户实行电价、气价、水价优惠政策或补贴政策。对受疫情影响暂时出现生产经营困难的小微企业和个体工商户，实行用水、用电、用气欠费不停供政策，设立</w:t>
      </w:r>
      <w:r>
        <w:rPr>
          <w:rFonts w:ascii="Times New Roman" w:hAnsi="Times New Roman" w:eastAsia="Times New Roman" w:cs="Times New Roman"/>
          <w:snapToGrid/>
          <w:spacing w:val="0"/>
          <w:w w:val="100"/>
          <w:kern w:val="32"/>
          <w:position w:val="0"/>
          <w:sz w:val="32"/>
          <w:szCs w:val="32"/>
        </w:rPr>
        <w:t>6</w:t>
      </w:r>
      <w:r>
        <w:rPr>
          <w:rFonts w:ascii="仿宋" w:hAnsi="仿宋" w:eastAsia="仿宋" w:cs="仿宋"/>
          <w:snapToGrid/>
          <w:spacing w:val="0"/>
          <w:w w:val="100"/>
          <w:kern w:val="32"/>
          <w:position w:val="0"/>
          <w:sz w:val="32"/>
          <w:szCs w:val="32"/>
        </w:rPr>
        <w:t>个月费用缓缴期，缓缴期间免收欠费滞纳金。减免受疫情影响导致的企业用电偏差考核费用，助力企业纾困减负。加强用电保障，做到电力供需总体平衡、电网运行安全稳定、企业居民生产生活供电可靠，杜绝拉闸限电情况。加强售电公司监管，公开公示市场价格水平，努力保持全市企业用电价格稳定，确保居民、农业电价不变。</w:t>
      </w:r>
      <w:r>
        <w:rPr>
          <w:rFonts w:ascii="Times New Roman" w:hAnsi="Times New Roman" w:eastAsia="Times New Roman" w:cs="Times New Roman"/>
          <w:snapToGrid/>
          <w:spacing w:val="0"/>
          <w:w w:val="100"/>
          <w:kern w:val="32"/>
          <w:position w:val="0"/>
          <w:sz w:val="32"/>
          <w:szCs w:val="32"/>
        </w:rPr>
        <w:t>2022</w:t>
      </w:r>
      <w:r>
        <w:rPr>
          <w:rFonts w:ascii="仿宋" w:hAnsi="仿宋" w:eastAsia="仿宋" w:cs="仿宋"/>
          <w:snapToGrid/>
          <w:spacing w:val="0"/>
          <w:w w:val="100"/>
          <w:kern w:val="32"/>
          <w:position w:val="0"/>
          <w:sz w:val="32"/>
          <w:szCs w:val="32"/>
        </w:rPr>
        <w:t xml:space="preserve">年，中小微企业宽带和专线平均资费再降 </w:t>
      </w:r>
      <w:r>
        <w:rPr>
          <w:rFonts w:ascii="Times New Roman" w:hAnsi="Times New Roman" w:eastAsia="Times New Roman" w:cs="Times New Roman"/>
          <w:snapToGrid/>
          <w:spacing w:val="0"/>
          <w:w w:val="100"/>
          <w:kern w:val="32"/>
          <w:position w:val="0"/>
          <w:sz w:val="32"/>
          <w:szCs w:val="32"/>
        </w:rPr>
        <w:t>10%</w:t>
      </w:r>
      <w:r>
        <w:rPr>
          <w:rFonts w:ascii="仿宋" w:hAnsi="仿宋" w:eastAsia="仿宋" w:cs="仿宋"/>
          <w:snapToGrid/>
          <w:spacing w:val="0"/>
          <w:w w:val="100"/>
          <w:kern w:val="32"/>
          <w:position w:val="0"/>
          <w:sz w:val="32"/>
          <w:szCs w:val="32"/>
        </w:rPr>
        <w:t>。</w:t>
      </w:r>
      <w:r>
        <w:rPr>
          <w:rFonts w:hint="eastAsia" w:ascii="仿宋" w:hAnsi="仿宋" w:eastAsia="仿宋" w:cs="仿宋"/>
          <w:snapToGrid/>
          <w:spacing w:val="0"/>
          <w:w w:val="100"/>
          <w:kern w:val="32"/>
          <w:position w:val="0"/>
          <w:sz w:val="32"/>
          <w:szCs w:val="32"/>
          <w:lang w:eastAsia="zh-CN"/>
        </w:rPr>
        <w:t>（</w:t>
      </w:r>
      <w:r>
        <w:rPr>
          <w:rFonts w:hint="eastAsia" w:ascii="仿宋" w:hAnsi="仿宋" w:eastAsia="仿宋" w:cs="仿宋"/>
          <w:snapToGrid/>
          <w:spacing w:val="0"/>
          <w:w w:val="100"/>
          <w:kern w:val="32"/>
          <w:position w:val="0"/>
          <w:sz w:val="32"/>
          <w:szCs w:val="32"/>
          <w:lang w:val="en-US" w:eastAsia="zh-CN"/>
        </w:rPr>
        <w:t>责任单位：</w:t>
      </w:r>
      <w:r>
        <w:rPr>
          <w:rFonts w:hint="eastAsia" w:ascii="仿宋" w:hAnsi="仿宋" w:eastAsia="仿宋" w:cs="仿宋"/>
          <w:snapToGrid/>
          <w:color w:val="FF0000"/>
          <w:spacing w:val="0"/>
          <w:w w:val="100"/>
          <w:kern w:val="32"/>
          <w:position w:val="0"/>
          <w:sz w:val="32"/>
          <w:szCs w:val="32"/>
          <w:lang w:val="en-US" w:eastAsia="zh-CN"/>
        </w:rPr>
        <w:t>市经发局-金融口</w:t>
      </w:r>
      <w:r>
        <w:rPr>
          <w:rFonts w:hint="eastAsia" w:ascii="仿宋" w:hAnsi="仿宋" w:eastAsia="仿宋" w:cs="仿宋"/>
          <w:snapToGrid/>
          <w:color w:val="auto"/>
          <w:spacing w:val="0"/>
          <w:w w:val="100"/>
          <w:kern w:val="32"/>
          <w:position w:val="0"/>
          <w:sz w:val="32"/>
          <w:szCs w:val="32"/>
          <w:lang w:val="en-US" w:eastAsia="zh-CN"/>
        </w:rPr>
        <w:t>、能源口、经信口、市财政局、市自然资源与规划建设局、市市场监督管理局、国网龙港供电有限公司）</w:t>
      </w:r>
    </w:p>
    <w:p>
      <w:pPr>
        <w:keepNext w:val="0"/>
        <w:keepLines w:val="0"/>
        <w:pageBreakBefore w:val="0"/>
        <w:widowControl/>
        <w:kinsoku w:val="0"/>
        <w:wordWrap/>
        <w:overflowPunct/>
        <w:topLinePunct w:val="0"/>
        <w:autoSpaceDE w:val="0"/>
        <w:autoSpaceDN w:val="0"/>
        <w:bidi w:val="0"/>
        <w:adjustRightInd w:val="0"/>
        <w:snapToGrid/>
        <w:spacing w:line="240" w:lineRule="auto"/>
        <w:ind w:firstLine="642"/>
        <w:textAlignment w:val="baseline"/>
        <w:rPr>
          <w:rFonts w:hint="eastAsia" w:ascii="仿宋" w:hAnsi="仿宋" w:eastAsia="仿宋" w:cs="仿宋"/>
          <w:snapToGrid/>
          <w:color w:val="auto"/>
          <w:spacing w:val="0"/>
          <w:w w:val="100"/>
          <w:kern w:val="32"/>
          <w:position w:val="0"/>
          <w:sz w:val="32"/>
          <w:szCs w:val="32"/>
          <w:lang w:val="en-US" w:eastAsia="zh-CN"/>
        </w:rPr>
      </w:pPr>
      <w:r>
        <w:rPr>
          <w:rFonts w:ascii="Times New Roman" w:hAnsi="Times New Roman" w:eastAsia="Times New Roman" w:cs="Times New Roman"/>
          <w:snapToGrid/>
          <w:spacing w:val="0"/>
          <w:w w:val="100"/>
          <w:kern w:val="32"/>
          <w:position w:val="0"/>
          <w:sz w:val="32"/>
          <w:szCs w:val="32"/>
        </w:rPr>
        <w:t>32.</w:t>
      </w:r>
      <w:r>
        <w:rPr>
          <w:rFonts w:ascii="楷体" w:hAnsi="楷体" w:eastAsia="楷体" w:cs="楷体"/>
          <w:snapToGrid/>
          <w:spacing w:val="0"/>
          <w:w w:val="100"/>
          <w:kern w:val="32"/>
          <w:position w:val="0"/>
          <w:sz w:val="32"/>
          <w:szCs w:val="32"/>
        </w:rPr>
        <w:t>推动阶段性减免市场主体房屋租金和房产税、城镇土地 使用税。</w:t>
      </w:r>
      <w:r>
        <w:rPr>
          <w:rFonts w:ascii="仿宋" w:hAnsi="仿宋" w:eastAsia="仿宋" w:cs="仿宋"/>
          <w:snapToGrid/>
          <w:spacing w:val="0"/>
          <w:w w:val="100"/>
          <w:kern w:val="32"/>
          <w:position w:val="0"/>
          <w:sz w:val="32"/>
          <w:szCs w:val="32"/>
        </w:rPr>
        <w:t>鼓励各县（市、区）对承租非国有房屋的服务业小微企业和个体工商户给予适当比例补助。对在疫情期间为受困企业和个体工商户减免租金的房产业主</w:t>
      </w:r>
      <w:r>
        <w:rPr>
          <w:rFonts w:hint="eastAsia" w:ascii="仿宋" w:hAnsi="仿宋" w:eastAsia="仿宋" w:cs="仿宋"/>
          <w:snapToGrid/>
          <w:spacing w:val="0"/>
          <w:w w:val="100"/>
          <w:kern w:val="32"/>
          <w:position w:val="0"/>
          <w:sz w:val="32"/>
          <w:szCs w:val="32"/>
          <w:lang w:eastAsia="zh-CN"/>
        </w:rPr>
        <w:t>，</w:t>
      </w:r>
      <w:r>
        <w:rPr>
          <w:rFonts w:ascii="Times New Roman" w:hAnsi="Times New Roman" w:eastAsia="Times New Roman" w:cs="Times New Roman"/>
          <w:snapToGrid/>
          <w:spacing w:val="0"/>
          <w:w w:val="100"/>
          <w:kern w:val="32"/>
          <w:position w:val="0"/>
          <w:sz w:val="32"/>
          <w:szCs w:val="32"/>
        </w:rPr>
        <w:t>2022</w:t>
      </w:r>
      <w:r>
        <w:rPr>
          <w:rFonts w:ascii="仿宋" w:hAnsi="仿宋" w:eastAsia="仿宋" w:cs="仿宋"/>
          <w:snapToGrid/>
          <w:spacing w:val="0"/>
          <w:w w:val="100"/>
          <w:kern w:val="32"/>
          <w:position w:val="0"/>
          <w:sz w:val="32"/>
          <w:szCs w:val="32"/>
        </w:rPr>
        <w:t>年缴纳房产税、城镇土地使用税有困难的，酌情减免房产税，并按规定实施城镇土地使用税差别化减免政策。</w:t>
      </w:r>
      <w:r>
        <w:rPr>
          <w:rFonts w:hint="eastAsia" w:ascii="仿宋" w:hAnsi="仿宋" w:eastAsia="仿宋" w:cs="仿宋"/>
          <w:snapToGrid/>
          <w:spacing w:val="0"/>
          <w:w w:val="100"/>
          <w:kern w:val="32"/>
          <w:position w:val="0"/>
          <w:sz w:val="32"/>
          <w:szCs w:val="32"/>
          <w:lang w:eastAsia="zh-CN"/>
        </w:rPr>
        <w:t>（</w:t>
      </w:r>
      <w:r>
        <w:rPr>
          <w:rFonts w:hint="eastAsia" w:ascii="仿宋" w:hAnsi="仿宋" w:eastAsia="仿宋" w:cs="仿宋"/>
          <w:snapToGrid/>
          <w:spacing w:val="0"/>
          <w:w w:val="100"/>
          <w:kern w:val="32"/>
          <w:position w:val="0"/>
          <w:sz w:val="32"/>
          <w:szCs w:val="32"/>
          <w:lang w:val="en-US" w:eastAsia="zh-CN"/>
        </w:rPr>
        <w:t>责任单位：</w:t>
      </w:r>
      <w:r>
        <w:rPr>
          <w:rFonts w:hint="eastAsia" w:ascii="仿宋" w:hAnsi="仿宋" w:eastAsia="仿宋" w:cs="仿宋"/>
          <w:snapToGrid/>
          <w:color w:val="FF0000"/>
          <w:spacing w:val="0"/>
          <w:w w:val="100"/>
          <w:kern w:val="32"/>
          <w:position w:val="0"/>
          <w:sz w:val="32"/>
          <w:szCs w:val="32"/>
          <w:lang w:val="en-US" w:eastAsia="zh-CN"/>
        </w:rPr>
        <w:t>市财政局</w:t>
      </w:r>
      <w:r>
        <w:rPr>
          <w:rFonts w:hint="eastAsia" w:ascii="仿宋" w:hAnsi="仿宋" w:eastAsia="仿宋" w:cs="仿宋"/>
          <w:snapToGrid/>
          <w:color w:val="auto"/>
          <w:spacing w:val="0"/>
          <w:w w:val="100"/>
          <w:kern w:val="32"/>
          <w:position w:val="0"/>
          <w:sz w:val="32"/>
          <w:szCs w:val="32"/>
          <w:lang w:val="en-US" w:eastAsia="zh-CN"/>
        </w:rPr>
        <w:t>、市税务局）</w:t>
      </w:r>
    </w:p>
    <w:p>
      <w:pPr>
        <w:keepNext w:val="0"/>
        <w:keepLines w:val="0"/>
        <w:pageBreakBefore w:val="0"/>
        <w:widowControl/>
        <w:kinsoku w:val="0"/>
        <w:wordWrap/>
        <w:overflowPunct/>
        <w:topLinePunct w:val="0"/>
        <w:autoSpaceDE w:val="0"/>
        <w:autoSpaceDN w:val="0"/>
        <w:bidi w:val="0"/>
        <w:adjustRightInd w:val="0"/>
        <w:snapToGrid/>
        <w:spacing w:line="240" w:lineRule="auto"/>
        <w:ind w:firstLine="642"/>
        <w:textAlignment w:val="baseline"/>
        <w:rPr>
          <w:rFonts w:hint="eastAsia" w:ascii="仿宋" w:hAnsi="仿宋" w:eastAsia="仿宋" w:cs="仿宋"/>
          <w:snapToGrid/>
          <w:color w:val="auto"/>
          <w:spacing w:val="0"/>
          <w:w w:val="100"/>
          <w:kern w:val="32"/>
          <w:position w:val="0"/>
          <w:sz w:val="32"/>
          <w:szCs w:val="32"/>
          <w:lang w:val="en-US" w:eastAsia="zh-CN"/>
        </w:rPr>
      </w:pPr>
      <w:r>
        <w:rPr>
          <w:rFonts w:ascii="Times New Roman" w:hAnsi="Times New Roman" w:eastAsia="Times New Roman" w:cs="Times New Roman"/>
          <w:snapToGrid/>
          <w:spacing w:val="0"/>
          <w:w w:val="100"/>
          <w:kern w:val="32"/>
          <w:position w:val="0"/>
          <w:sz w:val="32"/>
          <w:szCs w:val="32"/>
        </w:rPr>
        <w:t>33.</w:t>
      </w:r>
      <w:r>
        <w:rPr>
          <w:rFonts w:ascii="楷体" w:hAnsi="楷体" w:eastAsia="楷体" w:cs="楷体"/>
          <w:snapToGrid/>
          <w:spacing w:val="0"/>
          <w:w w:val="100"/>
          <w:kern w:val="32"/>
          <w:position w:val="0"/>
          <w:sz w:val="32"/>
          <w:szCs w:val="32"/>
        </w:rPr>
        <w:t>优化企业复工达产政策。</w:t>
      </w:r>
      <w:r>
        <w:rPr>
          <w:rFonts w:ascii="仿宋" w:hAnsi="仿宋" w:eastAsia="仿宋" w:cs="仿宋"/>
          <w:snapToGrid/>
          <w:spacing w:val="0"/>
          <w:w w:val="100"/>
          <w:kern w:val="32"/>
          <w:position w:val="0"/>
          <w:sz w:val="32"/>
          <w:szCs w:val="32"/>
        </w:rPr>
        <w:t>建立完善产业链供应链重点企业、重点外贸外资企业、防疫物资生产企业等重点企业白名单动 态管理机制，鼓励各县（市、区）具备条件的企业在发生疫情时进行闭环生产，力保企业正常运转和产业链供应链稳定。</w:t>
      </w:r>
      <w:r>
        <w:rPr>
          <w:rFonts w:hint="eastAsia" w:ascii="仿宋" w:hAnsi="仿宋" w:eastAsia="仿宋" w:cs="仿宋"/>
          <w:snapToGrid/>
          <w:spacing w:val="0"/>
          <w:w w:val="100"/>
          <w:kern w:val="32"/>
          <w:position w:val="0"/>
          <w:sz w:val="32"/>
          <w:szCs w:val="32"/>
          <w:lang w:eastAsia="zh-CN"/>
        </w:rPr>
        <w:t>（</w:t>
      </w:r>
      <w:r>
        <w:rPr>
          <w:rFonts w:hint="eastAsia" w:ascii="仿宋" w:hAnsi="仿宋" w:eastAsia="仿宋" w:cs="仿宋"/>
          <w:snapToGrid/>
          <w:spacing w:val="0"/>
          <w:w w:val="100"/>
          <w:kern w:val="32"/>
          <w:position w:val="0"/>
          <w:sz w:val="32"/>
          <w:szCs w:val="32"/>
          <w:lang w:val="en-US" w:eastAsia="zh-CN"/>
        </w:rPr>
        <w:t>责任单位：</w:t>
      </w:r>
      <w:r>
        <w:rPr>
          <w:rFonts w:hint="eastAsia" w:ascii="仿宋" w:hAnsi="仿宋" w:eastAsia="仿宋" w:cs="仿宋"/>
          <w:snapToGrid/>
          <w:color w:val="FF0000"/>
          <w:spacing w:val="0"/>
          <w:w w:val="100"/>
          <w:kern w:val="32"/>
          <w:position w:val="0"/>
          <w:sz w:val="32"/>
          <w:szCs w:val="32"/>
          <w:lang w:val="en-US" w:eastAsia="zh-CN"/>
        </w:rPr>
        <w:t>市经发局-经信口</w:t>
      </w:r>
      <w:r>
        <w:rPr>
          <w:rFonts w:hint="eastAsia" w:ascii="仿宋" w:hAnsi="仿宋" w:eastAsia="仿宋" w:cs="仿宋"/>
          <w:snapToGrid/>
          <w:color w:val="auto"/>
          <w:spacing w:val="0"/>
          <w:w w:val="100"/>
          <w:kern w:val="32"/>
          <w:position w:val="0"/>
          <w:sz w:val="32"/>
          <w:szCs w:val="32"/>
          <w:lang w:val="en-US" w:eastAsia="zh-CN"/>
        </w:rPr>
        <w:t>、商贸口、市社会事业局）</w:t>
      </w:r>
    </w:p>
    <w:p>
      <w:pPr>
        <w:keepNext w:val="0"/>
        <w:keepLines w:val="0"/>
        <w:pageBreakBefore w:val="0"/>
        <w:widowControl/>
        <w:kinsoku w:val="0"/>
        <w:wordWrap/>
        <w:overflowPunct/>
        <w:topLinePunct w:val="0"/>
        <w:autoSpaceDE w:val="0"/>
        <w:autoSpaceDN w:val="0"/>
        <w:bidi w:val="0"/>
        <w:adjustRightInd w:val="0"/>
        <w:snapToGrid/>
        <w:spacing w:line="240" w:lineRule="auto"/>
        <w:ind w:firstLine="642"/>
        <w:textAlignment w:val="baseline"/>
        <w:rPr>
          <w:rFonts w:hint="eastAsia" w:ascii="仿宋" w:hAnsi="仿宋" w:eastAsia="仿宋" w:cs="仿宋"/>
          <w:snapToGrid/>
          <w:color w:val="auto"/>
          <w:spacing w:val="0"/>
          <w:w w:val="100"/>
          <w:kern w:val="32"/>
          <w:position w:val="0"/>
          <w:sz w:val="32"/>
          <w:szCs w:val="32"/>
          <w:lang w:val="en-US" w:eastAsia="zh-CN"/>
        </w:rPr>
      </w:pPr>
      <w:r>
        <w:rPr>
          <w:rFonts w:ascii="Times New Roman" w:hAnsi="Times New Roman" w:eastAsia="Times New Roman" w:cs="Times New Roman"/>
          <w:snapToGrid/>
          <w:spacing w:val="0"/>
          <w:w w:val="100"/>
          <w:kern w:val="32"/>
          <w:position w:val="0"/>
          <w:sz w:val="32"/>
          <w:szCs w:val="32"/>
        </w:rPr>
        <w:t>34.</w:t>
      </w:r>
      <w:r>
        <w:rPr>
          <w:rFonts w:ascii="楷体" w:hAnsi="楷体" w:eastAsia="楷体" w:cs="楷体"/>
          <w:snapToGrid/>
          <w:spacing w:val="0"/>
          <w:w w:val="100"/>
          <w:kern w:val="32"/>
          <w:position w:val="0"/>
          <w:sz w:val="32"/>
          <w:szCs w:val="32"/>
        </w:rPr>
        <w:t>完善交通物流保通保畅政策。</w:t>
      </w:r>
      <w:r>
        <w:rPr>
          <w:rFonts w:ascii="仿宋" w:hAnsi="仿宋" w:eastAsia="仿宋" w:cs="仿宋"/>
          <w:snapToGrid/>
          <w:spacing w:val="0"/>
          <w:w w:val="100"/>
          <w:kern w:val="32"/>
          <w:position w:val="0"/>
          <w:sz w:val="32"/>
          <w:szCs w:val="32"/>
        </w:rPr>
        <w:t>全面取消对来自低风险地区货运车辆的防疫通行限制。对来自或进出中高风险地区所在设区市的货运车辆，实施</w:t>
      </w:r>
      <w:r>
        <w:rPr>
          <w:rFonts w:ascii="Times New Roman" w:hAnsi="Times New Roman" w:eastAsia="Times New Roman" w:cs="Times New Roman"/>
          <w:snapToGrid/>
          <w:spacing w:val="0"/>
          <w:w w:val="100"/>
          <w:kern w:val="32"/>
          <w:position w:val="0"/>
          <w:sz w:val="32"/>
          <w:szCs w:val="32"/>
        </w:rPr>
        <w:t xml:space="preserve">“ </w:t>
      </w:r>
      <w:r>
        <w:rPr>
          <w:rFonts w:ascii="仿宋" w:hAnsi="仿宋" w:eastAsia="仿宋" w:cs="仿宋"/>
          <w:snapToGrid/>
          <w:spacing w:val="0"/>
          <w:w w:val="100"/>
          <w:kern w:val="32"/>
          <w:position w:val="0"/>
          <w:sz w:val="32"/>
          <w:szCs w:val="32"/>
        </w:rPr>
        <w:t>即采即走即追</w:t>
      </w:r>
      <w:r>
        <w:rPr>
          <w:rFonts w:ascii="Times New Roman" w:hAnsi="Times New Roman" w:eastAsia="Times New Roman" w:cs="Times New Roman"/>
          <w:snapToGrid/>
          <w:spacing w:val="0"/>
          <w:w w:val="100"/>
          <w:kern w:val="32"/>
          <w:position w:val="0"/>
          <w:sz w:val="32"/>
          <w:szCs w:val="32"/>
        </w:rPr>
        <w:t xml:space="preserve">” </w:t>
      </w:r>
      <w:r>
        <w:rPr>
          <w:rFonts w:ascii="仿宋" w:hAnsi="仿宋" w:eastAsia="仿宋" w:cs="仿宋"/>
          <w:snapToGrid/>
          <w:spacing w:val="0"/>
          <w:w w:val="100"/>
          <w:kern w:val="32"/>
          <w:position w:val="0"/>
          <w:sz w:val="32"/>
          <w:szCs w:val="32"/>
        </w:rPr>
        <w:t>制度。用好重点物资运输车辆通行证制度，市内非涉疫地区之间通行的，无需办理通行证。确保公路、航道和港 口畅通，确保服务区、收费站、船闸等设施应开尽开，不得擅自阻断或关闭。不断迭代完善货车司机防疫服务站服务功能，优化服务流程。客货运司机、快递员、船员到异地免费检测点进行核酸检测和抗原检测，视同当地居民纳入检测 范围，享受同等政策。</w:t>
      </w:r>
      <w:r>
        <w:rPr>
          <w:rFonts w:hint="eastAsia" w:ascii="仿宋" w:hAnsi="仿宋" w:eastAsia="仿宋" w:cs="仿宋"/>
          <w:snapToGrid/>
          <w:spacing w:val="0"/>
          <w:w w:val="100"/>
          <w:kern w:val="32"/>
          <w:position w:val="0"/>
          <w:sz w:val="32"/>
          <w:szCs w:val="32"/>
          <w:lang w:eastAsia="zh-CN"/>
        </w:rPr>
        <w:t>（</w:t>
      </w:r>
      <w:r>
        <w:rPr>
          <w:rFonts w:hint="eastAsia" w:ascii="仿宋" w:hAnsi="仿宋" w:eastAsia="仿宋" w:cs="仿宋"/>
          <w:snapToGrid/>
          <w:spacing w:val="0"/>
          <w:w w:val="100"/>
          <w:kern w:val="32"/>
          <w:position w:val="0"/>
          <w:sz w:val="32"/>
          <w:szCs w:val="32"/>
          <w:lang w:val="en-US" w:eastAsia="zh-CN"/>
        </w:rPr>
        <w:t>责任单位：</w:t>
      </w:r>
      <w:r>
        <w:rPr>
          <w:rFonts w:hint="eastAsia" w:ascii="仿宋" w:hAnsi="仿宋" w:eastAsia="仿宋" w:cs="仿宋"/>
          <w:snapToGrid/>
          <w:color w:val="FF0000"/>
          <w:spacing w:val="0"/>
          <w:w w:val="100"/>
          <w:kern w:val="32"/>
          <w:position w:val="0"/>
          <w:sz w:val="32"/>
          <w:szCs w:val="32"/>
          <w:lang w:val="en-US" w:eastAsia="zh-CN"/>
        </w:rPr>
        <w:t>市自然资源与规划建设局</w:t>
      </w:r>
      <w:r>
        <w:rPr>
          <w:rFonts w:hint="eastAsia" w:ascii="仿宋" w:hAnsi="仿宋" w:eastAsia="仿宋" w:cs="仿宋"/>
          <w:snapToGrid/>
          <w:color w:val="auto"/>
          <w:spacing w:val="0"/>
          <w:w w:val="100"/>
          <w:kern w:val="32"/>
          <w:position w:val="0"/>
          <w:sz w:val="32"/>
          <w:szCs w:val="32"/>
          <w:lang w:val="en-US" w:eastAsia="zh-CN"/>
        </w:rPr>
        <w:t>、市经发局-发改口、市公安局、市财政局、市防控办、苍南邮政管理局）</w:t>
      </w:r>
    </w:p>
    <w:p>
      <w:pPr>
        <w:keepNext w:val="0"/>
        <w:keepLines w:val="0"/>
        <w:pageBreakBefore w:val="0"/>
        <w:widowControl/>
        <w:kinsoku w:val="0"/>
        <w:wordWrap/>
        <w:overflowPunct/>
        <w:topLinePunct w:val="0"/>
        <w:autoSpaceDE w:val="0"/>
        <w:autoSpaceDN w:val="0"/>
        <w:bidi w:val="0"/>
        <w:adjustRightInd w:val="0"/>
        <w:snapToGrid/>
        <w:spacing w:line="240" w:lineRule="auto"/>
        <w:ind w:firstLine="642"/>
        <w:textAlignment w:val="baseline"/>
        <w:rPr>
          <w:rFonts w:hint="eastAsia" w:ascii="仿宋" w:hAnsi="仿宋" w:eastAsia="仿宋" w:cs="仿宋"/>
          <w:snapToGrid/>
          <w:color w:val="auto"/>
          <w:spacing w:val="0"/>
          <w:w w:val="100"/>
          <w:kern w:val="32"/>
          <w:position w:val="0"/>
          <w:sz w:val="32"/>
          <w:szCs w:val="32"/>
          <w:lang w:val="en-US" w:eastAsia="zh-CN"/>
        </w:rPr>
      </w:pPr>
      <w:r>
        <w:rPr>
          <w:rFonts w:ascii="Times New Roman" w:hAnsi="Times New Roman" w:eastAsia="Times New Roman" w:cs="Times New Roman"/>
          <w:snapToGrid/>
          <w:spacing w:val="0"/>
          <w:w w:val="100"/>
          <w:kern w:val="32"/>
          <w:position w:val="0"/>
          <w:sz w:val="32"/>
          <w:szCs w:val="32"/>
        </w:rPr>
        <w:t>35.</w:t>
      </w:r>
      <w:r>
        <w:rPr>
          <w:rFonts w:ascii="楷体" w:hAnsi="楷体" w:eastAsia="楷体" w:cs="楷体"/>
          <w:snapToGrid/>
          <w:spacing w:val="0"/>
          <w:w w:val="100"/>
          <w:kern w:val="32"/>
          <w:position w:val="0"/>
          <w:sz w:val="32"/>
          <w:szCs w:val="32"/>
        </w:rPr>
        <w:t>统筹加大对物流枢纽和物流企业的支持力度。</w:t>
      </w:r>
      <w:r>
        <w:rPr>
          <w:rFonts w:ascii="仿宋" w:hAnsi="仿宋" w:eastAsia="仿宋" w:cs="仿宋"/>
          <w:snapToGrid/>
          <w:spacing w:val="0"/>
          <w:w w:val="100"/>
          <w:kern w:val="32"/>
          <w:position w:val="0"/>
          <w:sz w:val="32"/>
          <w:szCs w:val="32"/>
        </w:rPr>
        <w:t>加快温州 海港、空港物流基地建设。高效推进</w:t>
      </w:r>
      <w:r>
        <w:rPr>
          <w:rFonts w:ascii="Times New Roman" w:hAnsi="Times New Roman" w:eastAsia="Times New Roman" w:cs="Times New Roman"/>
          <w:snapToGrid/>
          <w:spacing w:val="0"/>
          <w:w w:val="100"/>
          <w:kern w:val="32"/>
          <w:position w:val="0"/>
          <w:sz w:val="32"/>
          <w:szCs w:val="32"/>
        </w:rPr>
        <w:t xml:space="preserve">“ </w:t>
      </w:r>
      <w:r>
        <w:rPr>
          <w:rFonts w:ascii="仿宋" w:hAnsi="仿宋" w:eastAsia="仿宋" w:cs="仿宋"/>
          <w:snapToGrid/>
          <w:spacing w:val="0"/>
          <w:w w:val="100"/>
          <w:kern w:val="32"/>
          <w:position w:val="0"/>
          <w:sz w:val="32"/>
          <w:szCs w:val="32"/>
        </w:rPr>
        <w:t>四港</w:t>
      </w:r>
      <w:r>
        <w:rPr>
          <w:rFonts w:ascii="Times New Roman" w:hAnsi="Times New Roman" w:eastAsia="Times New Roman" w:cs="Times New Roman"/>
          <w:snapToGrid/>
          <w:spacing w:val="0"/>
          <w:w w:val="100"/>
          <w:kern w:val="32"/>
          <w:position w:val="0"/>
          <w:sz w:val="32"/>
          <w:szCs w:val="32"/>
        </w:rPr>
        <w:t>”</w:t>
      </w:r>
      <w:r>
        <w:rPr>
          <w:rFonts w:ascii="仿宋" w:hAnsi="仿宋" w:eastAsia="仿宋" w:cs="仿宋"/>
          <w:snapToGrid/>
          <w:spacing w:val="0"/>
          <w:w w:val="100"/>
          <w:kern w:val="32"/>
          <w:position w:val="0"/>
          <w:sz w:val="32"/>
          <w:szCs w:val="32"/>
        </w:rPr>
        <w:t>联动，加快集装箱海铁等多式联运发展，降低社会物流成本。提升港口作业效率。落实国家减并港口收费等相关规定，降低海运相关环节收费，稳定港口集疏运车辆运价。提升贸易通关效率。用足用好物流助企纾困政策，支持金融机构向交通物流领域提供优惠贷款。承接好国际航空航线奖补政策拓展到温州航空口岸。支持家庭农场、农民专业合作社和村级集体经济组织建设一批农产品产地冷藏保鲜设施，扩大农产品收购冷藏库容，增强生鲜农产品收储能力。</w:t>
      </w:r>
      <w:r>
        <w:rPr>
          <w:rFonts w:hint="eastAsia" w:ascii="仿宋" w:hAnsi="仿宋" w:eastAsia="仿宋" w:cs="仿宋"/>
          <w:snapToGrid/>
          <w:spacing w:val="0"/>
          <w:w w:val="100"/>
          <w:kern w:val="32"/>
          <w:position w:val="0"/>
          <w:sz w:val="32"/>
          <w:szCs w:val="32"/>
          <w:lang w:eastAsia="zh-CN"/>
        </w:rPr>
        <w:t>（</w:t>
      </w:r>
      <w:r>
        <w:rPr>
          <w:rFonts w:hint="eastAsia" w:ascii="仿宋" w:hAnsi="仿宋" w:eastAsia="仿宋" w:cs="仿宋"/>
          <w:snapToGrid/>
          <w:spacing w:val="0"/>
          <w:w w:val="100"/>
          <w:kern w:val="32"/>
          <w:position w:val="0"/>
          <w:sz w:val="32"/>
          <w:szCs w:val="32"/>
          <w:lang w:val="en-US" w:eastAsia="zh-CN"/>
        </w:rPr>
        <w:t>责任单位：</w:t>
      </w:r>
      <w:r>
        <w:rPr>
          <w:rFonts w:hint="eastAsia" w:ascii="仿宋" w:hAnsi="仿宋" w:eastAsia="仿宋" w:cs="仿宋"/>
          <w:snapToGrid/>
          <w:color w:val="FF0000"/>
          <w:spacing w:val="0"/>
          <w:w w:val="100"/>
          <w:kern w:val="32"/>
          <w:position w:val="0"/>
          <w:sz w:val="32"/>
          <w:szCs w:val="32"/>
          <w:lang w:val="en-US" w:eastAsia="zh-CN"/>
        </w:rPr>
        <w:t>市经发局-商贸口</w:t>
      </w:r>
      <w:r>
        <w:rPr>
          <w:rFonts w:hint="eastAsia" w:ascii="仿宋" w:hAnsi="仿宋" w:eastAsia="仿宋" w:cs="仿宋"/>
          <w:snapToGrid/>
          <w:color w:val="auto"/>
          <w:spacing w:val="0"/>
          <w:w w:val="100"/>
          <w:kern w:val="32"/>
          <w:position w:val="0"/>
          <w:sz w:val="32"/>
          <w:szCs w:val="32"/>
          <w:lang w:val="en-US" w:eastAsia="zh-CN"/>
        </w:rPr>
        <w:t>、市自然资源与规划建设局、市农业农村局、人行苍南县支行、温州海关驻瑞鳌办事处）</w:t>
      </w:r>
    </w:p>
    <w:p>
      <w:pPr>
        <w:keepNext w:val="0"/>
        <w:keepLines w:val="0"/>
        <w:pageBreakBefore w:val="0"/>
        <w:widowControl/>
        <w:kinsoku w:val="0"/>
        <w:wordWrap/>
        <w:overflowPunct/>
        <w:topLinePunct w:val="0"/>
        <w:autoSpaceDE w:val="0"/>
        <w:autoSpaceDN w:val="0"/>
        <w:bidi w:val="0"/>
        <w:adjustRightInd w:val="0"/>
        <w:snapToGrid/>
        <w:spacing w:line="240" w:lineRule="auto"/>
        <w:ind w:firstLine="643"/>
        <w:textAlignment w:val="baseline"/>
        <w:rPr>
          <w:rFonts w:ascii="黑体" w:hAnsi="黑体" w:eastAsia="黑体" w:cs="黑体"/>
          <w:snapToGrid/>
          <w:spacing w:val="0"/>
          <w:w w:val="100"/>
          <w:kern w:val="32"/>
          <w:position w:val="0"/>
          <w:sz w:val="32"/>
          <w:szCs w:val="32"/>
        </w:rPr>
      </w:pPr>
      <w:r>
        <w:rPr>
          <w:rFonts w:ascii="黑体" w:hAnsi="黑体" w:eastAsia="黑体" w:cs="黑体"/>
          <w:snapToGrid/>
          <w:spacing w:val="0"/>
          <w:w w:val="100"/>
          <w:kern w:val="32"/>
          <w:position w:val="0"/>
          <w:sz w:val="32"/>
          <w:szCs w:val="32"/>
        </w:rPr>
        <w:t>八、保基本民生措施（</w:t>
      </w:r>
      <w:r>
        <w:rPr>
          <w:rFonts w:ascii="Times New Roman" w:hAnsi="Times New Roman" w:eastAsia="Times New Roman" w:cs="Times New Roman"/>
          <w:snapToGrid/>
          <w:spacing w:val="0"/>
          <w:w w:val="100"/>
          <w:kern w:val="32"/>
          <w:position w:val="0"/>
          <w:sz w:val="32"/>
          <w:szCs w:val="32"/>
        </w:rPr>
        <w:t>5</w:t>
      </w:r>
      <w:r>
        <w:rPr>
          <w:rFonts w:ascii="黑体" w:hAnsi="黑体" w:eastAsia="黑体" w:cs="黑体"/>
          <w:snapToGrid/>
          <w:spacing w:val="0"/>
          <w:w w:val="100"/>
          <w:kern w:val="32"/>
          <w:position w:val="0"/>
          <w:sz w:val="32"/>
          <w:szCs w:val="32"/>
        </w:rPr>
        <w:t>项）</w:t>
      </w:r>
    </w:p>
    <w:p>
      <w:pPr>
        <w:keepNext w:val="0"/>
        <w:keepLines w:val="0"/>
        <w:pageBreakBefore w:val="0"/>
        <w:widowControl/>
        <w:kinsoku w:val="0"/>
        <w:wordWrap/>
        <w:overflowPunct/>
        <w:topLinePunct w:val="0"/>
        <w:autoSpaceDE w:val="0"/>
        <w:autoSpaceDN w:val="0"/>
        <w:bidi w:val="0"/>
        <w:adjustRightInd w:val="0"/>
        <w:snapToGrid/>
        <w:spacing w:line="240" w:lineRule="auto"/>
        <w:ind w:firstLine="642"/>
        <w:textAlignment w:val="baseline"/>
        <w:rPr>
          <w:rFonts w:hint="eastAsia" w:ascii="仿宋" w:hAnsi="仿宋" w:eastAsia="仿宋" w:cs="仿宋"/>
          <w:snapToGrid/>
          <w:color w:val="auto"/>
          <w:spacing w:val="0"/>
          <w:w w:val="100"/>
          <w:kern w:val="32"/>
          <w:position w:val="0"/>
          <w:sz w:val="32"/>
          <w:szCs w:val="32"/>
          <w:lang w:val="en-US" w:eastAsia="zh-CN"/>
        </w:rPr>
      </w:pPr>
      <w:r>
        <w:rPr>
          <w:rFonts w:ascii="Times New Roman" w:hAnsi="Times New Roman" w:eastAsia="Times New Roman" w:cs="Times New Roman"/>
          <w:snapToGrid/>
          <w:spacing w:val="0"/>
          <w:w w:val="100"/>
          <w:kern w:val="32"/>
          <w:position w:val="0"/>
          <w:sz w:val="32"/>
          <w:szCs w:val="32"/>
        </w:rPr>
        <w:t xml:space="preserve">36. </w:t>
      </w:r>
      <w:r>
        <w:rPr>
          <w:rFonts w:ascii="楷体" w:hAnsi="楷体" w:eastAsia="楷体" w:cs="楷体"/>
          <w:snapToGrid/>
          <w:spacing w:val="0"/>
          <w:w w:val="100"/>
          <w:kern w:val="32"/>
          <w:position w:val="0"/>
          <w:sz w:val="32"/>
          <w:szCs w:val="32"/>
        </w:rPr>
        <w:t xml:space="preserve">实施住房公积金阶段性支持政策。 </w:t>
      </w:r>
      <w:r>
        <w:rPr>
          <w:rFonts w:ascii="仿宋" w:hAnsi="仿宋" w:eastAsia="仿宋" w:cs="仿宋"/>
          <w:snapToGrid/>
          <w:spacing w:val="0"/>
          <w:w w:val="100"/>
          <w:kern w:val="32"/>
          <w:position w:val="0"/>
          <w:sz w:val="32"/>
          <w:szCs w:val="32"/>
        </w:rPr>
        <w:t>受疫情影响的企业</w:t>
      </w:r>
      <w:r>
        <w:rPr>
          <w:rFonts w:hint="eastAsia" w:ascii="仿宋" w:hAnsi="仿宋" w:eastAsia="仿宋" w:cs="仿宋"/>
          <w:snapToGrid/>
          <w:spacing w:val="0"/>
          <w:w w:val="100"/>
          <w:kern w:val="32"/>
          <w:position w:val="0"/>
          <w:sz w:val="32"/>
          <w:szCs w:val="32"/>
          <w:lang w:eastAsia="zh-CN"/>
        </w:rPr>
        <w:t>、</w:t>
      </w:r>
      <w:r>
        <w:rPr>
          <w:rFonts w:ascii="仿宋" w:hAnsi="仿宋" w:eastAsia="仿宋" w:cs="仿宋"/>
          <w:snapToGrid/>
          <w:spacing w:val="0"/>
          <w:w w:val="100"/>
          <w:kern w:val="32"/>
          <w:position w:val="0"/>
          <w:sz w:val="32"/>
          <w:szCs w:val="32"/>
        </w:rPr>
        <w:t>灵活就业人员，可按规定申请缓缴住房公积金</w:t>
      </w:r>
      <w:r>
        <w:rPr>
          <w:rFonts w:hint="eastAsia" w:ascii="仿宋" w:hAnsi="仿宋" w:eastAsia="仿宋" w:cs="仿宋"/>
          <w:snapToGrid/>
          <w:spacing w:val="0"/>
          <w:w w:val="100"/>
          <w:kern w:val="32"/>
          <w:position w:val="0"/>
          <w:sz w:val="32"/>
          <w:szCs w:val="32"/>
          <w:lang w:eastAsia="zh-CN"/>
        </w:rPr>
        <w:t>，</w:t>
      </w:r>
      <w:r>
        <w:rPr>
          <w:rFonts w:ascii="仿宋" w:hAnsi="仿宋" w:eastAsia="仿宋" w:cs="仿宋"/>
          <w:snapToGrid/>
          <w:spacing w:val="0"/>
          <w:w w:val="100"/>
          <w:kern w:val="32"/>
          <w:position w:val="0"/>
          <w:sz w:val="32"/>
          <w:szCs w:val="32"/>
        </w:rPr>
        <w:t>到期后进行补缴。政策实施期间，缴存人正常提取和申请个人住房公积金贷款</w:t>
      </w:r>
      <w:r>
        <w:rPr>
          <w:rFonts w:hint="eastAsia" w:ascii="仿宋" w:hAnsi="仿宋" w:eastAsia="仿宋" w:cs="仿宋"/>
          <w:snapToGrid/>
          <w:spacing w:val="0"/>
          <w:w w:val="100"/>
          <w:kern w:val="32"/>
          <w:position w:val="0"/>
          <w:sz w:val="32"/>
          <w:szCs w:val="32"/>
          <w:lang w:eastAsia="zh-CN"/>
        </w:rPr>
        <w:t>，</w:t>
      </w:r>
      <w:r>
        <w:rPr>
          <w:rFonts w:ascii="仿宋" w:hAnsi="仿宋" w:eastAsia="仿宋" w:cs="仿宋"/>
          <w:snapToGrid/>
          <w:spacing w:val="0"/>
          <w:w w:val="100"/>
          <w:kern w:val="32"/>
          <w:position w:val="0"/>
          <w:sz w:val="32"/>
          <w:szCs w:val="32"/>
        </w:rPr>
        <w:t>不受缓缴影响。受新冠肺炎疫情影响的缴存人</w:t>
      </w:r>
      <w:r>
        <w:rPr>
          <w:rFonts w:hint="eastAsia" w:ascii="仿宋" w:hAnsi="仿宋" w:eastAsia="仿宋" w:cs="仿宋"/>
          <w:snapToGrid/>
          <w:spacing w:val="0"/>
          <w:w w:val="100"/>
          <w:kern w:val="32"/>
          <w:position w:val="0"/>
          <w:sz w:val="32"/>
          <w:szCs w:val="32"/>
          <w:lang w:eastAsia="zh-CN"/>
        </w:rPr>
        <w:t>，</w:t>
      </w:r>
      <w:r>
        <w:rPr>
          <w:rFonts w:ascii="仿宋" w:hAnsi="仿宋" w:eastAsia="仿宋" w:cs="仿宋"/>
          <w:snapToGrid/>
          <w:spacing w:val="0"/>
          <w:w w:val="100"/>
          <w:kern w:val="32"/>
          <w:position w:val="0"/>
          <w:sz w:val="32"/>
          <w:szCs w:val="32"/>
        </w:rPr>
        <w:t>不能正常偿还住房公积金贷款的，经申请不作逾期处理、不作为逾期记录报送征信部门。提高政策执行期间家庭购买首套住房个人住房公积金贷款最高额度</w:t>
      </w:r>
      <w:r>
        <w:rPr>
          <w:rFonts w:hint="eastAsia" w:ascii="仿宋" w:hAnsi="仿宋" w:eastAsia="仿宋" w:cs="仿宋"/>
          <w:snapToGrid/>
          <w:spacing w:val="0"/>
          <w:w w:val="100"/>
          <w:kern w:val="32"/>
          <w:position w:val="0"/>
          <w:sz w:val="32"/>
          <w:szCs w:val="32"/>
          <w:lang w:eastAsia="zh-CN"/>
        </w:rPr>
        <w:t>；</w:t>
      </w:r>
      <w:r>
        <w:rPr>
          <w:rFonts w:ascii="仿宋" w:hAnsi="仿宋" w:eastAsia="仿宋" w:cs="仿宋"/>
          <w:snapToGrid/>
          <w:spacing w:val="0"/>
          <w:w w:val="100"/>
          <w:kern w:val="32"/>
          <w:position w:val="0"/>
          <w:sz w:val="32"/>
          <w:szCs w:val="32"/>
        </w:rPr>
        <w:t>提高政策执行期间缴存人无房租赁住房提取住房公积金额度。</w:t>
      </w:r>
      <w:r>
        <w:rPr>
          <w:rFonts w:hint="eastAsia" w:ascii="仿宋" w:hAnsi="仿宋" w:eastAsia="仿宋" w:cs="仿宋"/>
          <w:snapToGrid/>
          <w:spacing w:val="0"/>
          <w:w w:val="100"/>
          <w:kern w:val="32"/>
          <w:position w:val="0"/>
          <w:sz w:val="32"/>
          <w:szCs w:val="32"/>
          <w:lang w:eastAsia="zh-CN"/>
        </w:rPr>
        <w:t>（</w:t>
      </w:r>
      <w:r>
        <w:rPr>
          <w:rFonts w:hint="eastAsia" w:ascii="仿宋" w:hAnsi="仿宋" w:eastAsia="仿宋" w:cs="仿宋"/>
          <w:snapToGrid/>
          <w:spacing w:val="0"/>
          <w:w w:val="100"/>
          <w:kern w:val="32"/>
          <w:position w:val="0"/>
          <w:sz w:val="32"/>
          <w:szCs w:val="32"/>
          <w:lang w:val="en-US" w:eastAsia="zh-CN"/>
        </w:rPr>
        <w:t>责任单位：</w:t>
      </w:r>
      <w:r>
        <w:rPr>
          <w:rFonts w:hint="eastAsia" w:ascii="仿宋" w:hAnsi="仿宋" w:eastAsia="仿宋" w:cs="仿宋"/>
          <w:snapToGrid/>
          <w:color w:val="FF0000"/>
          <w:spacing w:val="0"/>
          <w:w w:val="100"/>
          <w:kern w:val="32"/>
          <w:position w:val="0"/>
          <w:sz w:val="32"/>
          <w:szCs w:val="32"/>
          <w:lang w:val="en-US" w:eastAsia="zh-CN"/>
        </w:rPr>
        <w:t>市住房公积金管理中心龙港分中心</w:t>
      </w:r>
      <w:r>
        <w:rPr>
          <w:rFonts w:hint="eastAsia" w:ascii="仿宋" w:hAnsi="仿宋" w:eastAsia="仿宋" w:cs="仿宋"/>
          <w:snapToGrid/>
          <w:color w:val="auto"/>
          <w:spacing w:val="0"/>
          <w:w w:val="100"/>
          <w:kern w:val="32"/>
          <w:position w:val="0"/>
          <w:sz w:val="32"/>
          <w:szCs w:val="32"/>
          <w:lang w:val="en-US" w:eastAsia="zh-CN"/>
        </w:rPr>
        <w:t>、市财政局、人行苍南县支行）</w:t>
      </w:r>
    </w:p>
    <w:p>
      <w:pPr>
        <w:keepNext w:val="0"/>
        <w:keepLines w:val="0"/>
        <w:pageBreakBefore w:val="0"/>
        <w:widowControl/>
        <w:kinsoku w:val="0"/>
        <w:wordWrap/>
        <w:overflowPunct/>
        <w:topLinePunct w:val="0"/>
        <w:autoSpaceDE w:val="0"/>
        <w:autoSpaceDN w:val="0"/>
        <w:bidi w:val="0"/>
        <w:adjustRightInd w:val="0"/>
        <w:snapToGrid/>
        <w:spacing w:line="240" w:lineRule="auto"/>
        <w:ind w:firstLine="642"/>
        <w:textAlignment w:val="baseline"/>
        <w:rPr>
          <w:rFonts w:hint="eastAsia" w:ascii="仿宋" w:hAnsi="仿宋" w:eastAsia="仿宋" w:cs="仿宋"/>
          <w:snapToGrid/>
          <w:color w:val="auto"/>
          <w:spacing w:val="0"/>
          <w:w w:val="100"/>
          <w:kern w:val="32"/>
          <w:position w:val="0"/>
          <w:sz w:val="32"/>
          <w:szCs w:val="32"/>
          <w:lang w:val="en-US" w:eastAsia="zh-CN"/>
        </w:rPr>
      </w:pPr>
      <w:r>
        <w:rPr>
          <w:rFonts w:ascii="Times New Roman" w:hAnsi="Times New Roman" w:eastAsia="Times New Roman" w:cs="Times New Roman"/>
          <w:snapToGrid/>
          <w:spacing w:val="0"/>
          <w:w w:val="100"/>
          <w:kern w:val="32"/>
          <w:position w:val="0"/>
          <w:sz w:val="32"/>
          <w:szCs w:val="32"/>
        </w:rPr>
        <w:t>37.</w:t>
      </w:r>
      <w:r>
        <w:rPr>
          <w:rFonts w:ascii="楷体" w:hAnsi="楷体" w:eastAsia="楷体" w:cs="楷体"/>
          <w:snapToGrid/>
          <w:spacing w:val="0"/>
          <w:w w:val="100"/>
          <w:kern w:val="32"/>
          <w:position w:val="0"/>
          <w:sz w:val="32"/>
          <w:szCs w:val="32"/>
        </w:rPr>
        <w:t>完善农业转移人口市民化和农村劳动力就业创业支持政策。</w:t>
      </w:r>
      <w:r>
        <w:rPr>
          <w:rFonts w:ascii="仿宋" w:hAnsi="仿宋" w:eastAsia="仿宋" w:cs="仿宋"/>
          <w:snapToGrid/>
          <w:spacing w:val="0"/>
          <w:w w:val="100"/>
          <w:kern w:val="32"/>
          <w:position w:val="0"/>
          <w:sz w:val="32"/>
          <w:szCs w:val="32"/>
        </w:rPr>
        <w:t>制定农业转移人 口市民化方案，推动落实常住地提供基本公共服务制度，将符合条件的新市民纳入创业担保贷款扶持范围。 拓宽农村劳动力就地就近就业渠道，开展农民工学历能力提升行动，探索开展新业态新职业技能人才培养，支持自主创业和灵活就业。重大工程建设优先吸纳农村劳动力。</w:t>
      </w:r>
      <w:r>
        <w:rPr>
          <w:rFonts w:hint="eastAsia" w:ascii="仿宋" w:hAnsi="仿宋" w:eastAsia="仿宋" w:cs="仿宋"/>
          <w:snapToGrid/>
          <w:spacing w:val="0"/>
          <w:w w:val="100"/>
          <w:kern w:val="32"/>
          <w:position w:val="0"/>
          <w:sz w:val="32"/>
          <w:szCs w:val="32"/>
          <w:lang w:eastAsia="zh-CN"/>
        </w:rPr>
        <w:t>（</w:t>
      </w:r>
      <w:r>
        <w:rPr>
          <w:rFonts w:hint="eastAsia" w:ascii="仿宋" w:hAnsi="仿宋" w:eastAsia="仿宋" w:cs="仿宋"/>
          <w:snapToGrid/>
          <w:spacing w:val="0"/>
          <w:w w:val="100"/>
          <w:kern w:val="32"/>
          <w:position w:val="0"/>
          <w:sz w:val="32"/>
          <w:szCs w:val="32"/>
          <w:lang w:val="en-US" w:eastAsia="zh-CN"/>
        </w:rPr>
        <w:t>责任单位：</w:t>
      </w:r>
      <w:r>
        <w:rPr>
          <w:rFonts w:hint="eastAsia" w:ascii="仿宋" w:hAnsi="仿宋" w:eastAsia="仿宋" w:cs="仿宋"/>
          <w:snapToGrid/>
          <w:color w:val="FF0000"/>
          <w:spacing w:val="0"/>
          <w:w w:val="100"/>
          <w:kern w:val="32"/>
          <w:position w:val="0"/>
          <w:sz w:val="32"/>
          <w:szCs w:val="32"/>
          <w:lang w:val="en-US" w:eastAsia="zh-CN"/>
        </w:rPr>
        <w:t>市经发局-发改口</w:t>
      </w:r>
      <w:r>
        <w:rPr>
          <w:rFonts w:hint="eastAsia" w:ascii="仿宋" w:hAnsi="仿宋" w:eastAsia="仿宋" w:cs="仿宋"/>
          <w:snapToGrid/>
          <w:color w:val="auto"/>
          <w:spacing w:val="0"/>
          <w:w w:val="100"/>
          <w:kern w:val="32"/>
          <w:position w:val="0"/>
          <w:sz w:val="32"/>
          <w:szCs w:val="32"/>
          <w:lang w:val="en-US" w:eastAsia="zh-CN"/>
        </w:rPr>
        <w:t>、市财政局、市社会事业局、市农业农村局、市群团工作部）</w:t>
      </w:r>
    </w:p>
    <w:p>
      <w:pPr>
        <w:keepNext w:val="0"/>
        <w:keepLines w:val="0"/>
        <w:pageBreakBefore w:val="0"/>
        <w:widowControl/>
        <w:kinsoku w:val="0"/>
        <w:wordWrap/>
        <w:overflowPunct/>
        <w:topLinePunct w:val="0"/>
        <w:autoSpaceDE w:val="0"/>
        <w:autoSpaceDN w:val="0"/>
        <w:bidi w:val="0"/>
        <w:adjustRightInd w:val="0"/>
        <w:snapToGrid/>
        <w:spacing w:line="240" w:lineRule="auto"/>
        <w:ind w:firstLine="642"/>
        <w:textAlignment w:val="baseline"/>
        <w:rPr>
          <w:rFonts w:hint="eastAsia" w:ascii="仿宋" w:hAnsi="仿宋" w:eastAsia="仿宋" w:cs="仿宋"/>
          <w:snapToGrid/>
          <w:color w:val="auto"/>
          <w:spacing w:val="0"/>
          <w:w w:val="100"/>
          <w:kern w:val="32"/>
          <w:position w:val="0"/>
          <w:sz w:val="32"/>
          <w:szCs w:val="32"/>
          <w:lang w:val="en-US" w:eastAsia="zh-CN"/>
        </w:rPr>
      </w:pPr>
      <w:r>
        <w:rPr>
          <w:rFonts w:ascii="Times New Roman" w:hAnsi="Times New Roman" w:eastAsia="Times New Roman" w:cs="Times New Roman"/>
          <w:snapToGrid/>
          <w:spacing w:val="0"/>
          <w:w w:val="100"/>
          <w:kern w:val="32"/>
          <w:position w:val="0"/>
          <w:sz w:val="32"/>
          <w:szCs w:val="32"/>
        </w:rPr>
        <w:t>38.</w:t>
      </w:r>
      <w:r>
        <w:rPr>
          <w:rFonts w:ascii="楷体" w:hAnsi="楷体" w:eastAsia="楷体" w:cs="楷体"/>
          <w:snapToGrid/>
          <w:spacing w:val="0"/>
          <w:w w:val="100"/>
          <w:kern w:val="32"/>
          <w:position w:val="0"/>
          <w:sz w:val="32"/>
          <w:szCs w:val="32"/>
        </w:rPr>
        <w:t>解决重点群体充分就业和持续托底帮扶失业。</w:t>
      </w:r>
      <w:r>
        <w:rPr>
          <w:rFonts w:ascii="仿宋" w:hAnsi="仿宋" w:eastAsia="仿宋" w:cs="仿宋"/>
          <w:snapToGrid/>
          <w:spacing w:val="0"/>
          <w:w w:val="100"/>
          <w:kern w:val="32"/>
          <w:position w:val="0"/>
          <w:sz w:val="32"/>
          <w:szCs w:val="32"/>
        </w:rPr>
        <w:t>继续实施一系列阶段性、组合式稳就业保民生政策，进一步加大稳岗促就业力度，打造</w:t>
      </w:r>
      <w:r>
        <w:rPr>
          <w:rFonts w:ascii="Times New Roman" w:hAnsi="Times New Roman" w:eastAsia="Times New Roman" w:cs="Times New Roman"/>
          <w:snapToGrid/>
          <w:spacing w:val="0"/>
          <w:w w:val="100"/>
          <w:kern w:val="32"/>
          <w:position w:val="0"/>
          <w:sz w:val="32"/>
          <w:szCs w:val="32"/>
        </w:rPr>
        <w:t xml:space="preserve">“ </w:t>
      </w:r>
      <w:r>
        <w:rPr>
          <w:rFonts w:ascii="仿宋" w:hAnsi="仿宋" w:eastAsia="仿宋" w:cs="仿宋"/>
          <w:snapToGrid/>
          <w:spacing w:val="0"/>
          <w:w w:val="100"/>
          <w:kern w:val="32"/>
          <w:position w:val="0"/>
          <w:sz w:val="32"/>
          <w:szCs w:val="32"/>
        </w:rPr>
        <w:t xml:space="preserve">重点群体快速就业援助 </w:t>
      </w:r>
      <w:r>
        <w:rPr>
          <w:rFonts w:ascii="Times New Roman" w:hAnsi="Times New Roman" w:eastAsia="Times New Roman" w:cs="Times New Roman"/>
          <w:snapToGrid/>
          <w:spacing w:val="0"/>
          <w:w w:val="100"/>
          <w:kern w:val="32"/>
          <w:position w:val="0"/>
          <w:sz w:val="32"/>
          <w:szCs w:val="32"/>
        </w:rPr>
        <w:t xml:space="preserve">2.0 </w:t>
      </w:r>
      <w:r>
        <w:rPr>
          <w:rFonts w:ascii="仿宋" w:hAnsi="仿宋" w:eastAsia="仿宋" w:cs="仿宋"/>
          <w:snapToGrid/>
          <w:spacing w:val="0"/>
          <w:w w:val="100"/>
          <w:kern w:val="32"/>
          <w:position w:val="0"/>
          <w:sz w:val="32"/>
          <w:szCs w:val="32"/>
        </w:rPr>
        <w:t>版</w:t>
      </w:r>
      <w:r>
        <w:rPr>
          <w:rFonts w:ascii="Times New Roman" w:hAnsi="Times New Roman" w:eastAsia="Times New Roman" w:cs="Times New Roman"/>
          <w:snapToGrid/>
          <w:spacing w:val="0"/>
          <w:w w:val="100"/>
          <w:kern w:val="32"/>
          <w:position w:val="0"/>
          <w:sz w:val="32"/>
          <w:szCs w:val="32"/>
        </w:rPr>
        <w:t>”</w:t>
      </w:r>
      <w:r>
        <w:rPr>
          <w:rFonts w:ascii="仿宋" w:hAnsi="仿宋" w:eastAsia="仿宋" w:cs="仿宋"/>
          <w:snapToGrid/>
          <w:spacing w:val="0"/>
          <w:w w:val="100"/>
          <w:kern w:val="32"/>
          <w:position w:val="0"/>
          <w:sz w:val="32"/>
          <w:szCs w:val="32"/>
        </w:rPr>
        <w:t>，促进重点群体就业。持续落实失业扩围，延续政策扩大保障范围，除失业金之外，对领取失业保险金期满仍未就业的失业人员、参保缴费不足</w:t>
      </w:r>
      <w:r>
        <w:rPr>
          <w:rFonts w:ascii="Times New Roman" w:hAnsi="Times New Roman" w:eastAsia="Times New Roman" w:cs="Times New Roman"/>
          <w:snapToGrid/>
          <w:spacing w:val="0"/>
          <w:w w:val="100"/>
          <w:kern w:val="32"/>
          <w:position w:val="0"/>
          <w:sz w:val="32"/>
          <w:szCs w:val="32"/>
        </w:rPr>
        <w:t>1</w:t>
      </w:r>
      <w:r>
        <w:rPr>
          <w:rFonts w:ascii="仿宋" w:hAnsi="仿宋" w:eastAsia="仿宋" w:cs="仿宋"/>
          <w:snapToGrid/>
          <w:spacing w:val="0"/>
          <w:w w:val="100"/>
          <w:kern w:val="32"/>
          <w:position w:val="0"/>
          <w:sz w:val="32"/>
          <w:szCs w:val="32"/>
        </w:rPr>
        <w:t>年或参保缴费满</w:t>
      </w:r>
      <w:r>
        <w:rPr>
          <w:rFonts w:ascii="Times New Roman" w:hAnsi="Times New Roman" w:eastAsia="Times New Roman" w:cs="Times New Roman"/>
          <w:snapToGrid/>
          <w:spacing w:val="0"/>
          <w:w w:val="100"/>
          <w:kern w:val="32"/>
          <w:position w:val="0"/>
          <w:sz w:val="32"/>
          <w:szCs w:val="32"/>
        </w:rPr>
        <w:t>1</w:t>
      </w:r>
      <w:r>
        <w:rPr>
          <w:rFonts w:ascii="仿宋" w:hAnsi="仿宋" w:eastAsia="仿宋" w:cs="仿宋"/>
          <w:snapToGrid/>
          <w:spacing w:val="0"/>
          <w:w w:val="100"/>
          <w:kern w:val="32"/>
          <w:position w:val="0"/>
          <w:sz w:val="32"/>
          <w:szCs w:val="32"/>
        </w:rPr>
        <w:t>年但因本人原因解除劳动合同的失业人员，发放失业补助金，继续放宽技能提升补贴申领条件，向取得职业资格证书或职业技能等级证书的参保职工发放技能提升补贴，申领条件继续放宽至企业在职职工参加失业保险</w:t>
      </w:r>
      <w:r>
        <w:rPr>
          <w:rFonts w:ascii="Times New Roman" w:hAnsi="Times New Roman" w:eastAsia="Times New Roman" w:cs="Times New Roman"/>
          <w:snapToGrid/>
          <w:spacing w:val="0"/>
          <w:w w:val="100"/>
          <w:kern w:val="32"/>
          <w:position w:val="0"/>
          <w:sz w:val="32"/>
          <w:szCs w:val="32"/>
        </w:rPr>
        <w:t>1</w:t>
      </w:r>
      <w:r>
        <w:rPr>
          <w:rFonts w:ascii="仿宋" w:hAnsi="仿宋" w:eastAsia="仿宋" w:cs="仿宋"/>
          <w:snapToGrid/>
          <w:spacing w:val="0"/>
          <w:w w:val="100"/>
          <w:kern w:val="32"/>
          <w:position w:val="0"/>
          <w:sz w:val="32"/>
          <w:szCs w:val="32"/>
        </w:rPr>
        <w:t>年以上。</w:t>
      </w:r>
      <w:r>
        <w:rPr>
          <w:rFonts w:hint="eastAsia" w:ascii="仿宋" w:hAnsi="仿宋" w:eastAsia="仿宋" w:cs="仿宋"/>
          <w:snapToGrid/>
          <w:spacing w:val="0"/>
          <w:w w:val="100"/>
          <w:kern w:val="32"/>
          <w:position w:val="0"/>
          <w:sz w:val="32"/>
          <w:szCs w:val="32"/>
          <w:lang w:eastAsia="zh-CN"/>
        </w:rPr>
        <w:t>（</w:t>
      </w:r>
      <w:r>
        <w:rPr>
          <w:rFonts w:hint="eastAsia" w:ascii="仿宋" w:hAnsi="仿宋" w:eastAsia="仿宋" w:cs="仿宋"/>
          <w:snapToGrid/>
          <w:spacing w:val="0"/>
          <w:w w:val="100"/>
          <w:kern w:val="32"/>
          <w:position w:val="0"/>
          <w:sz w:val="32"/>
          <w:szCs w:val="32"/>
          <w:lang w:val="en-US" w:eastAsia="zh-CN"/>
        </w:rPr>
        <w:t>责任单位：</w:t>
      </w:r>
      <w:r>
        <w:rPr>
          <w:rFonts w:hint="eastAsia" w:ascii="仿宋" w:hAnsi="仿宋" w:eastAsia="仿宋" w:cs="仿宋"/>
          <w:snapToGrid/>
          <w:color w:val="FF0000"/>
          <w:spacing w:val="0"/>
          <w:w w:val="100"/>
          <w:kern w:val="32"/>
          <w:position w:val="0"/>
          <w:sz w:val="32"/>
          <w:szCs w:val="32"/>
          <w:lang w:val="en-US" w:eastAsia="zh-CN"/>
        </w:rPr>
        <w:t>市经发局-发改口</w:t>
      </w:r>
      <w:r>
        <w:rPr>
          <w:rFonts w:hint="eastAsia" w:ascii="仿宋" w:hAnsi="仿宋" w:eastAsia="仿宋" w:cs="仿宋"/>
          <w:snapToGrid/>
          <w:color w:val="auto"/>
          <w:spacing w:val="0"/>
          <w:w w:val="100"/>
          <w:kern w:val="32"/>
          <w:position w:val="0"/>
          <w:sz w:val="32"/>
          <w:szCs w:val="32"/>
          <w:lang w:val="en-US" w:eastAsia="zh-CN"/>
        </w:rPr>
        <w:t>、市财政局、市社会事业局、市农业农村局、市群团工作部）</w:t>
      </w:r>
    </w:p>
    <w:p>
      <w:pPr>
        <w:keepNext w:val="0"/>
        <w:keepLines w:val="0"/>
        <w:pageBreakBefore w:val="0"/>
        <w:widowControl/>
        <w:kinsoku w:val="0"/>
        <w:wordWrap/>
        <w:overflowPunct/>
        <w:topLinePunct w:val="0"/>
        <w:autoSpaceDE w:val="0"/>
        <w:autoSpaceDN w:val="0"/>
        <w:bidi w:val="0"/>
        <w:adjustRightInd w:val="0"/>
        <w:snapToGrid/>
        <w:spacing w:line="240" w:lineRule="auto"/>
        <w:ind w:firstLine="642"/>
        <w:textAlignment w:val="baseline"/>
        <w:rPr>
          <w:rFonts w:hint="eastAsia" w:ascii="仿宋" w:hAnsi="仿宋" w:eastAsia="仿宋" w:cs="仿宋"/>
          <w:snapToGrid/>
          <w:spacing w:val="0"/>
          <w:w w:val="100"/>
          <w:kern w:val="32"/>
          <w:position w:val="0"/>
          <w:sz w:val="32"/>
          <w:szCs w:val="32"/>
          <w:lang w:eastAsia="zh-CN"/>
        </w:rPr>
      </w:pPr>
      <w:r>
        <w:rPr>
          <w:rFonts w:ascii="Times New Roman" w:hAnsi="Times New Roman" w:eastAsia="Times New Roman" w:cs="Times New Roman"/>
          <w:snapToGrid/>
          <w:spacing w:val="0"/>
          <w:w w:val="100"/>
          <w:kern w:val="32"/>
          <w:position w:val="0"/>
          <w:sz w:val="32"/>
          <w:szCs w:val="32"/>
        </w:rPr>
        <w:t>39.</w:t>
      </w:r>
      <w:r>
        <w:rPr>
          <w:rFonts w:ascii="楷体" w:hAnsi="楷体" w:eastAsia="楷体" w:cs="楷体"/>
          <w:snapToGrid/>
          <w:spacing w:val="0"/>
          <w:w w:val="100"/>
          <w:kern w:val="32"/>
          <w:position w:val="0"/>
          <w:sz w:val="32"/>
          <w:szCs w:val="32"/>
        </w:rPr>
        <w:t>全力清欠保障权益。</w:t>
      </w:r>
      <w:r>
        <w:rPr>
          <w:rFonts w:ascii="仿宋" w:hAnsi="仿宋" w:eastAsia="仿宋" w:cs="仿宋"/>
          <w:snapToGrid/>
          <w:spacing w:val="0"/>
          <w:w w:val="100"/>
          <w:kern w:val="32"/>
          <w:position w:val="0"/>
          <w:sz w:val="32"/>
          <w:szCs w:val="32"/>
        </w:rPr>
        <w:t>全力保障农民工工资支付工作，高效稳妥处置各类劳动纠纷，确保劳动关系领域和谐稳定。关心关爱新就业形态劳动者，保障广大员工在就业、社保、工伤保险、技能提升、薪酬待遇等方面的权益。</w:t>
      </w:r>
      <w:r>
        <w:rPr>
          <w:rFonts w:hint="eastAsia" w:ascii="仿宋" w:hAnsi="仿宋" w:eastAsia="仿宋" w:cs="仿宋"/>
          <w:snapToGrid/>
          <w:spacing w:val="0"/>
          <w:w w:val="100"/>
          <w:kern w:val="32"/>
          <w:position w:val="0"/>
          <w:sz w:val="32"/>
          <w:szCs w:val="32"/>
          <w:lang w:eastAsia="zh-CN"/>
        </w:rPr>
        <w:t>（</w:t>
      </w:r>
      <w:r>
        <w:rPr>
          <w:rFonts w:hint="eastAsia" w:ascii="仿宋" w:hAnsi="仿宋" w:eastAsia="仿宋" w:cs="仿宋"/>
          <w:snapToGrid/>
          <w:spacing w:val="0"/>
          <w:w w:val="100"/>
          <w:kern w:val="32"/>
          <w:position w:val="0"/>
          <w:sz w:val="32"/>
          <w:szCs w:val="32"/>
          <w:lang w:val="en-US" w:eastAsia="zh-CN"/>
        </w:rPr>
        <w:t>责任单位：</w:t>
      </w:r>
      <w:r>
        <w:rPr>
          <w:rFonts w:hint="eastAsia" w:ascii="仿宋" w:hAnsi="仿宋" w:eastAsia="仿宋" w:cs="仿宋"/>
          <w:snapToGrid/>
          <w:color w:val="FF0000"/>
          <w:spacing w:val="0"/>
          <w:w w:val="100"/>
          <w:kern w:val="32"/>
          <w:position w:val="0"/>
          <w:sz w:val="32"/>
          <w:szCs w:val="32"/>
          <w:lang w:val="en-US" w:eastAsia="zh-CN"/>
        </w:rPr>
        <w:t>市社会事业局</w:t>
      </w:r>
      <w:r>
        <w:rPr>
          <w:rFonts w:hint="eastAsia" w:ascii="仿宋" w:hAnsi="仿宋" w:eastAsia="仿宋" w:cs="仿宋"/>
          <w:snapToGrid/>
          <w:spacing w:val="0"/>
          <w:w w:val="100"/>
          <w:kern w:val="32"/>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spacing w:line="240" w:lineRule="auto"/>
        <w:ind w:firstLine="642"/>
        <w:textAlignment w:val="baseline"/>
        <w:rPr>
          <w:rFonts w:hint="eastAsia" w:ascii="仿宋" w:hAnsi="仿宋" w:eastAsia="仿宋" w:cs="仿宋"/>
          <w:snapToGrid/>
          <w:color w:val="auto"/>
          <w:spacing w:val="0"/>
          <w:w w:val="100"/>
          <w:kern w:val="32"/>
          <w:position w:val="0"/>
          <w:sz w:val="32"/>
          <w:szCs w:val="32"/>
          <w:lang w:val="en-US" w:eastAsia="zh-CN"/>
        </w:rPr>
      </w:pPr>
      <w:r>
        <w:rPr>
          <w:rFonts w:ascii="Times New Roman" w:hAnsi="Times New Roman" w:eastAsia="Times New Roman" w:cs="Times New Roman"/>
          <w:snapToGrid/>
          <w:spacing w:val="0"/>
          <w:w w:val="100"/>
          <w:kern w:val="32"/>
          <w:position w:val="0"/>
          <w:sz w:val="32"/>
          <w:szCs w:val="32"/>
        </w:rPr>
        <w:t>40.</w:t>
      </w:r>
      <w:r>
        <w:rPr>
          <w:rFonts w:ascii="楷体" w:hAnsi="楷体" w:eastAsia="楷体" w:cs="楷体"/>
          <w:snapToGrid/>
          <w:spacing w:val="0"/>
          <w:w w:val="100"/>
          <w:kern w:val="32"/>
          <w:position w:val="0"/>
          <w:sz w:val="32"/>
          <w:szCs w:val="32"/>
        </w:rPr>
        <w:t>完善社会民生兜底保障措施。</w:t>
      </w:r>
      <w:r>
        <w:rPr>
          <w:rFonts w:ascii="仿宋" w:hAnsi="仿宋" w:eastAsia="仿宋" w:cs="仿宋"/>
          <w:snapToGrid/>
          <w:spacing w:val="0"/>
          <w:w w:val="100"/>
          <w:kern w:val="32"/>
          <w:position w:val="0"/>
          <w:sz w:val="32"/>
          <w:szCs w:val="32"/>
        </w:rPr>
        <w:t>更加关注生活困难群体和 残疾人家庭，加快低收入家庭综合帮扶集成改革，切实提升低收入家庭增收能力和收入水平。认真执行社会救助和保障标准与物价上涨挂钩的联动机制，及时足额将价格临时补贴发放到困难群众手中，确保低收入群体基本生活水平不因价格上涨而降低。进一步完善重要民生商品价格调控机制，做好米面油、蔬菜、肉蛋奶等重要民生商品的保供稳价工作。</w:t>
      </w:r>
      <w:r>
        <w:rPr>
          <w:rFonts w:hint="eastAsia" w:ascii="仿宋" w:hAnsi="仿宋" w:eastAsia="仿宋" w:cs="仿宋"/>
          <w:snapToGrid/>
          <w:spacing w:val="0"/>
          <w:w w:val="100"/>
          <w:kern w:val="32"/>
          <w:position w:val="0"/>
          <w:sz w:val="32"/>
          <w:szCs w:val="32"/>
          <w:lang w:eastAsia="zh-CN"/>
        </w:rPr>
        <w:t>（</w:t>
      </w:r>
      <w:r>
        <w:rPr>
          <w:rFonts w:hint="eastAsia" w:ascii="仿宋" w:hAnsi="仿宋" w:eastAsia="仿宋" w:cs="仿宋"/>
          <w:snapToGrid/>
          <w:spacing w:val="0"/>
          <w:w w:val="100"/>
          <w:kern w:val="32"/>
          <w:position w:val="0"/>
          <w:sz w:val="32"/>
          <w:szCs w:val="32"/>
          <w:lang w:val="en-US" w:eastAsia="zh-CN"/>
        </w:rPr>
        <w:t>责任单位：</w:t>
      </w:r>
      <w:r>
        <w:rPr>
          <w:rFonts w:hint="eastAsia" w:ascii="仿宋" w:hAnsi="仿宋" w:eastAsia="仿宋" w:cs="仿宋"/>
          <w:snapToGrid/>
          <w:color w:val="FF0000"/>
          <w:spacing w:val="0"/>
          <w:w w:val="100"/>
          <w:kern w:val="32"/>
          <w:position w:val="0"/>
          <w:sz w:val="32"/>
          <w:szCs w:val="32"/>
          <w:lang w:val="en-US" w:eastAsia="zh-CN"/>
        </w:rPr>
        <w:t>市经发局-金融口</w:t>
      </w:r>
      <w:r>
        <w:rPr>
          <w:rFonts w:hint="eastAsia" w:ascii="仿宋" w:hAnsi="仿宋" w:eastAsia="仿宋" w:cs="仿宋"/>
          <w:snapToGrid/>
          <w:color w:val="auto"/>
          <w:spacing w:val="0"/>
          <w:w w:val="100"/>
          <w:kern w:val="32"/>
          <w:position w:val="0"/>
          <w:sz w:val="32"/>
          <w:szCs w:val="32"/>
          <w:lang w:val="en-US" w:eastAsia="zh-CN"/>
        </w:rPr>
        <w:t>、市社会事业局、市财政局、市农业农村局、市群团工作部）</w:t>
      </w: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4YzYwNWYyNWFkNjg1YTZiMzMyMTk3ZjQwMDk1NGEifQ=="/>
  </w:docVars>
  <w:rsids>
    <w:rsidRoot w:val="371D585D"/>
    <w:rsid w:val="10921DBB"/>
    <w:rsid w:val="13175344"/>
    <w:rsid w:val="3031100A"/>
    <w:rsid w:val="371D585D"/>
    <w:rsid w:val="6F300347"/>
    <w:rsid w:val="775FF25F"/>
    <w:rsid w:val="7BC77B8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19</Pages>
  <Words>10046</Words>
  <Characters>10241</Characters>
  <Lines>0</Lines>
  <Paragraphs>0</Paragraphs>
  <TotalTime>12</TotalTime>
  <ScaleCrop>false</ScaleCrop>
  <LinksUpToDate>false</LinksUpToDate>
  <CharactersWithSpaces>10339</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2022-06-13T20:39:00Z</dcterms:created>
  <dc:creator>潘志化</dc:creator>
  <cp:lastModifiedBy>A.谢小姐</cp:lastModifiedBy>
  <dcterms:modified xsi:type="dcterms:W3CDTF">2022-06-15T06:55:07Z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C67BDEB72CA94047A25DC56B8FD0421D</vt:lpwstr>
  </property>
  <property fmtid="{D5CDD505-2E9C-101B-9397-08002B2CF9AE}" pid="4" name="woTemplateTypoMode" linkTarget="0">
    <vt:lpwstr>web</vt:lpwstr>
  </property>
  <property fmtid="{D5CDD505-2E9C-101B-9397-08002B2CF9AE}" pid="5" name="woTemplate" linkTarget="0">
    <vt:i4>1</vt:i4>
  </property>
</Properties>
</file>